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320" w:lineRule="exact"/>
        <w:jc w:val="center"/>
        <w:textAlignment w:val="auto"/>
        <w:outlineLvl w:val="9"/>
        <w:rPr>
          <w:rFonts w:hint="eastAsia" w:eastAsia="黑体"/>
          <w:bCs/>
          <w:color w:val="0C0C0C"/>
          <w:sz w:val="28"/>
          <w:szCs w:val="22"/>
          <w:highlight w:val="none"/>
        </w:rPr>
      </w:pPr>
      <w:r>
        <w:rPr>
          <w:rFonts w:hint="eastAsia" w:eastAsia="黑体"/>
          <w:bCs/>
          <w:color w:val="0C0C0C"/>
          <w:sz w:val="28"/>
          <w:szCs w:val="22"/>
          <w:highlight w:val="none"/>
          <w:lang w:eastAsia="zh-CN"/>
        </w:rPr>
        <w:t>兵团</w:t>
      </w:r>
      <w:r>
        <w:rPr>
          <w:rFonts w:hint="eastAsia" w:eastAsia="黑体"/>
          <w:bCs/>
          <w:color w:val="0C0C0C"/>
          <w:sz w:val="28"/>
          <w:szCs w:val="22"/>
          <w:highlight w:val="none"/>
        </w:rPr>
        <w:t>科技项目</w:t>
      </w:r>
      <w:r>
        <w:rPr>
          <w:rFonts w:hint="eastAsia" w:eastAsia="黑体"/>
          <w:bCs/>
          <w:color w:val="0C0C0C"/>
          <w:sz w:val="28"/>
          <w:szCs w:val="22"/>
          <w:highlight w:val="none"/>
          <w:lang w:val="en-US" w:eastAsia="zh-CN"/>
        </w:rPr>
        <w:t>验收行业</w:t>
      </w:r>
      <w:r>
        <w:rPr>
          <w:rFonts w:hint="eastAsia" w:eastAsia="黑体"/>
          <w:bCs/>
          <w:color w:val="0C0C0C"/>
          <w:sz w:val="28"/>
          <w:szCs w:val="22"/>
          <w:highlight w:val="none"/>
          <w:lang w:eastAsia="zh-CN"/>
        </w:rPr>
        <w:t>专家</w:t>
      </w:r>
      <w:r>
        <w:rPr>
          <w:rFonts w:hint="eastAsia" w:eastAsia="黑体"/>
          <w:bCs/>
          <w:color w:val="0C0C0C"/>
          <w:sz w:val="28"/>
          <w:szCs w:val="22"/>
          <w:highlight w:val="none"/>
        </w:rPr>
        <w:t>评议表</w:t>
      </w:r>
    </w:p>
    <w:tbl>
      <w:tblPr>
        <w:tblW w:w="8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2354"/>
        <w:gridCol w:w="5578"/>
        <w:gridCol w:w="989"/>
      </w:tblGrid>
      <w:tr>
        <w:trPr>
          <w:trHeight w:val="543" w:hRule="atLeast"/>
          <w:jc w:val="center"/>
        </w:trPr>
        <w:tc>
          <w:tcPr>
            <w:tcW w:w="23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5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434" w:hRule="atLeast"/>
          <w:jc w:val="center"/>
        </w:trPr>
        <w:tc>
          <w:tcPr>
            <w:tcW w:w="892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一、评分表</w:t>
            </w:r>
          </w:p>
        </w:tc>
      </w:tr>
      <w:tr>
        <w:trPr>
          <w:trHeight w:val="389" w:hRule="atLeast"/>
          <w:jc w:val="center"/>
        </w:trPr>
        <w:tc>
          <w:tcPr>
            <w:tcW w:w="2354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评议内容</w:t>
            </w: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评议等级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与分值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打分</w:t>
            </w: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任务目标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与</w:t>
            </w:r>
          </w:p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考核指标完成情况</w:t>
            </w:r>
          </w:p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A．全部或超额完成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任务书下达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任务目标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及考核指标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B．基本完成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任务书下达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任务目标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及考核指标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39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C．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完成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任务书下达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的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任务目标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及关键考核指标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29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D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．主要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任务目标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及关键考核指标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未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完成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或者擅自调整任务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0分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组织管理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及科研诚信</w:t>
            </w:r>
          </w:p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A．组织管理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规范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有调整及报批手续，按期提交验收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B．组织管理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欠规范，有报批手续，但自行调整手续不齐备，提交验收每超一个月扣5分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10-39分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C．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</w:rPr>
              <w:t>未报批重大事项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，或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</w:rPr>
              <w:t>拒不配合验收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，提交验收超期6个月或者整改超期3个月，或弄虚作假等</w:t>
            </w:r>
            <w:r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严重失信并造成重大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不良</w:t>
            </w:r>
            <w:r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影响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0分）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科学、技术、经济、社会、文化价值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A．很好（1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-1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B．较好（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C．一般（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0-7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技术资料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完整程度</w:t>
            </w:r>
          </w:p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（5分）</w:t>
            </w: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A．技术资料齐全，内容完整（5分）</w:t>
            </w:r>
          </w:p>
        </w:tc>
        <w:tc>
          <w:tcPr>
            <w:tcW w:w="9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B．技术资料基本齐全，内容较完整（4分）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35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578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C．技术资料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欠缺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，内容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完整（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0-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3分）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455" w:hRule="atLeast"/>
          <w:jc w:val="center"/>
        </w:trPr>
        <w:tc>
          <w:tcPr>
            <w:tcW w:w="79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2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注：因资料不足无法评价、不能回答专家质询、专家不能达成一致意见的，或者研究过程及结果等存在纠纷尚未解决的，判为整改，不打分。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455" w:hRule="atLeast"/>
          <w:jc w:val="center"/>
        </w:trPr>
        <w:tc>
          <w:tcPr>
            <w:tcW w:w="79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3138" w:hRule="exact"/>
          <w:jc w:val="center"/>
        </w:trPr>
        <w:tc>
          <w:tcPr>
            <w:tcW w:w="8921" w:type="dxa"/>
            <w:gridSpan w:val="3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二、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意见建议</w:t>
            </w: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1440" w:firstLineChars="6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 xml:space="preserve">专家签名：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  月  日</w:t>
            </w: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color w:val="0C0C0C"/>
          <w:sz w:val="28"/>
          <w:szCs w:val="28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/>
        </w:sectPr>
      </w:pPr>
    </w:p>
    <w:p>
      <w:pPr>
        <w:widowControl w:val="0"/>
        <w:wordWrap/>
        <w:adjustRightInd/>
        <w:snapToGrid/>
        <w:spacing w:line="320" w:lineRule="exact"/>
        <w:jc w:val="center"/>
        <w:textAlignment w:val="auto"/>
        <w:outlineLvl w:val="9"/>
        <w:rPr>
          <w:rFonts w:hint="eastAsia" w:eastAsia="黑体"/>
          <w:bCs/>
          <w:color w:val="0C0C0C"/>
          <w:sz w:val="28"/>
          <w:szCs w:val="22"/>
          <w:highlight w:val="none"/>
        </w:rPr>
      </w:pPr>
      <w:r>
        <w:rPr>
          <w:rFonts w:hint="eastAsia" w:eastAsia="黑体"/>
          <w:bCs/>
          <w:color w:val="0C0C0C"/>
          <w:sz w:val="28"/>
          <w:szCs w:val="22"/>
          <w:highlight w:val="none"/>
        </w:rPr>
        <w:t>兵团</w:t>
      </w:r>
      <w:r>
        <w:rPr>
          <w:rFonts w:eastAsia="黑体"/>
          <w:bCs/>
          <w:color w:val="0C0C0C"/>
          <w:sz w:val="28"/>
          <w:szCs w:val="22"/>
          <w:highlight w:val="none"/>
        </w:rPr>
        <w:t>科技项目</w:t>
      </w:r>
      <w:bookmarkStart w:id="0" w:name="_GoBack"/>
      <w:bookmarkEnd w:id="0"/>
      <w:r>
        <w:rPr>
          <w:rFonts w:hint="eastAsia" w:eastAsia="黑体"/>
          <w:bCs/>
          <w:color w:val="0C0C0C"/>
          <w:sz w:val="28"/>
          <w:szCs w:val="22"/>
          <w:highlight w:val="none"/>
        </w:rPr>
        <w:t>验收财务</w:t>
      </w:r>
      <w:r>
        <w:rPr>
          <w:rFonts w:eastAsia="黑体"/>
          <w:bCs/>
          <w:color w:val="0C0C0C"/>
          <w:sz w:val="28"/>
          <w:szCs w:val="22"/>
          <w:highlight w:val="none"/>
        </w:rPr>
        <w:t>专家</w:t>
      </w:r>
      <w:r>
        <w:rPr>
          <w:rFonts w:hint="eastAsia" w:eastAsia="黑体"/>
          <w:bCs/>
          <w:color w:val="0C0C0C"/>
          <w:sz w:val="28"/>
          <w:szCs w:val="22"/>
          <w:highlight w:val="none"/>
          <w:lang w:eastAsia="zh-CN"/>
        </w:rPr>
        <w:t>评议</w:t>
      </w:r>
      <w:r>
        <w:rPr>
          <w:rFonts w:hint="eastAsia" w:eastAsia="黑体"/>
          <w:bCs/>
          <w:color w:val="0C0C0C"/>
          <w:sz w:val="28"/>
          <w:szCs w:val="22"/>
          <w:highlight w:val="none"/>
        </w:rPr>
        <w:t>表</w:t>
      </w:r>
    </w:p>
    <w:tbl>
      <w:tblPr>
        <w:tblW w:w="8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7" w:type="dxa"/>
          <w:left w:w="17" w:type="dxa"/>
          <w:bottom w:w="17" w:type="dxa"/>
          <w:right w:w="17" w:type="dxa"/>
        </w:tblCellMar>
      </w:tblPr>
      <w:tblGrid>
        <w:gridCol w:w="2062"/>
        <w:gridCol w:w="2302"/>
        <w:gridCol w:w="2708"/>
        <w:gridCol w:w="860"/>
        <w:gridCol w:w="989"/>
      </w:tblGrid>
      <w:tr>
        <w:trPr>
          <w:trHeight w:val="543" w:hRule="atLeast"/>
          <w:jc w:val="center"/>
        </w:trPr>
        <w:tc>
          <w:tcPr>
            <w:tcW w:w="2062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859" w:type="dxa"/>
            <w:gridSpan w:val="4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438" w:hRule="atLeast"/>
          <w:jc w:val="center"/>
        </w:trPr>
        <w:tc>
          <w:tcPr>
            <w:tcW w:w="2062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预算总经费（万元）</w:t>
            </w: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08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下达专项资金（万元）</w:t>
            </w:r>
          </w:p>
        </w:tc>
        <w:tc>
          <w:tcPr>
            <w:tcW w:w="1849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专项资金已使用额（万元）</w:t>
            </w:r>
          </w:p>
        </w:tc>
        <w:tc>
          <w:tcPr>
            <w:tcW w:w="230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08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专项资金结余额（万元）</w:t>
            </w:r>
          </w:p>
        </w:tc>
        <w:tc>
          <w:tcPr>
            <w:tcW w:w="1849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438" w:hRule="atLeast"/>
          <w:jc w:val="center"/>
        </w:trPr>
        <w:tc>
          <w:tcPr>
            <w:tcW w:w="892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一、评分表</w:t>
            </w:r>
          </w:p>
        </w:tc>
      </w:tr>
      <w:tr>
        <w:trPr>
          <w:trHeight w:val="389" w:hRule="atLeast"/>
          <w:jc w:val="center"/>
        </w:trPr>
        <w:tc>
          <w:tcPr>
            <w:tcW w:w="2062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评议内容</w:t>
            </w: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评议等级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与分值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打分</w:t>
            </w: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经费管理情况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A．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制度健全、单独核算、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及时足额按预算外拨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专项资金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调整及报批手续齐全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B．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制度较健全、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基本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highlight w:val="none"/>
              </w:rPr>
              <w:t>及时足额按预算外拨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专项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资金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、报批项手续完整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39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C．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专项资金未单独核算，或截留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专项资金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或违规外拨专项资金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或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预算主体变更未报批，或调增间接费总额，或挤占挪用专项资金，或随意调账修改凭证弄虚作假，或者其它严重违反财经纪律的行为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经费使用情况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A.符合经费支出范围与标准、专项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资金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执行率100%、自筹资金足额到位（40分）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B.基本符合经费支出范围与标准、专项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资金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执行率每低5%扣1分、自筹资金到位率每低1%扣1分（10-39分）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C.明显不符合支出范围与标准，或专项</w:t>
            </w:r>
            <w:r>
              <w:rPr>
                <w:rFonts w:hint="eastAsia" w:ascii="仿宋_GB2312" w:hAnsi="仿宋_GB2312" w:cs="仿宋_GB2312"/>
                <w:sz w:val="22"/>
                <w:szCs w:val="22"/>
                <w:highlight w:val="none"/>
                <w:lang w:val="en-US" w:eastAsia="zh-CN"/>
              </w:rPr>
              <w:t>资金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执行率不足50%且理由不合理，或自筹资金到位率不足80%（0分)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财务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资料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A．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财务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资料齐全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审计报告或决算报告质量较高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B．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财务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资料基本齐全，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审计报告或决算报告质量一般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10-19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170" w:hRule="atLeast"/>
          <w:jc w:val="center"/>
        </w:trPr>
        <w:tc>
          <w:tcPr>
            <w:tcW w:w="206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587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C．</w:t>
            </w: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财务资料不齐，审计报告或决算报告质量较差（0-9分）</w:t>
            </w:r>
          </w:p>
        </w:tc>
        <w:tc>
          <w:tcPr>
            <w:tcW w:w="98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rPr>
          <w:trHeight w:val="455" w:hRule="atLeast"/>
          <w:jc w:val="center"/>
        </w:trPr>
        <w:tc>
          <w:tcPr>
            <w:tcW w:w="793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注：因资料不足无法评价、不能回答专家质询、专家不能达成一致意见的，判为整改，不打分。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455" w:hRule="atLeast"/>
          <w:jc w:val="center"/>
        </w:trPr>
        <w:tc>
          <w:tcPr>
            <w:tcW w:w="793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分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rPr>
          <w:trHeight w:val="3138" w:hRule="exact"/>
          <w:jc w:val="center"/>
        </w:trPr>
        <w:tc>
          <w:tcPr>
            <w:tcW w:w="8921" w:type="dxa"/>
            <w:gridSpan w:val="5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  <w:lang w:val="en-US" w:eastAsia="zh-CN"/>
              </w:rPr>
              <w:t>二、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意见建议</w:t>
            </w: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1440" w:firstLineChars="6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 xml:space="preserve">专家签名：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  月  日</w:t>
            </w: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widowControl w:val="0"/>
              <w:wordWrap/>
              <w:adjustRightInd/>
              <w:snapToGrid/>
              <w:spacing w:line="280" w:lineRule="exact"/>
              <w:ind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</w:tbl>
    <w:p>
      <w:pPr>
        <w:widowControl w:val="0"/>
        <w:wordWrap/>
        <w:adjustRightInd/>
        <w:snapToGrid/>
        <w:spacing w:line="320" w:lineRule="exact"/>
        <w:jc w:val="center"/>
        <w:textAlignment w:val="auto"/>
        <w:outlineLvl w:val="9"/>
        <w:rPr>
          <w:rFonts w:hint="eastAsia" w:eastAsia="黑体"/>
          <w:bCs/>
          <w:color w:val="0C0C0C"/>
          <w:sz w:val="28"/>
          <w:szCs w:val="22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/>
        </w:sectPr>
      </w:pPr>
    </w:p>
    <w:tbl>
      <w:tblPr>
        <w:tblW w:w="8850" w:type="dxa"/>
        <w:tblInd w:w="-156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c>
          <w:tcPr>
            <w:tcW w:w="885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before="120" w:after="120" w:line="216" w:lineRule="auto"/>
              <w:jc w:val="center"/>
              <w:textAlignment w:val="auto"/>
              <w:outlineLvl w:val="9"/>
              <w:rPr>
                <w:rFonts w:hint="default" w:eastAsia="仿宋_GB2312"/>
                <w:b/>
                <w:color w:val="0C0C0C"/>
                <w:spacing w:val="60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eastAsia="仿宋_GB2312"/>
                <w:b/>
                <w:color w:val="0C0C0C"/>
                <w:spacing w:val="60"/>
                <w:sz w:val="28"/>
                <w:szCs w:val="20"/>
                <w:highlight w:val="none"/>
              </w:rPr>
              <w:t>验 收 意 见</w:t>
            </w:r>
            <w:r>
              <w:rPr>
                <w:rFonts w:hint="eastAsia" w:eastAsia="仿宋_GB2312"/>
                <w:b/>
                <w:color w:val="0C0C0C"/>
                <w:spacing w:val="60"/>
                <w:sz w:val="28"/>
                <w:szCs w:val="20"/>
                <w:highlight w:val="none"/>
                <w:lang w:val="en-US" w:eastAsia="zh-CN"/>
              </w:rPr>
              <w:t xml:space="preserve"> 及 结 论</w:t>
            </w:r>
          </w:p>
        </w:tc>
      </w:tr>
      <w:tr>
        <w:trPr>
          <w:trHeight w:val="3976" w:hRule="atLeast"/>
        </w:trPr>
        <w:tc>
          <w:tcPr>
            <w:tcW w:w="8850" w:type="dxa"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（前序）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已开展的研究工作及取得的成果，考核指标完成情况。</w:t>
            </w:r>
          </w:p>
          <w:p>
            <w:pPr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资料完整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，项目组织管理情况，资金使用规范性等。</w:t>
            </w:r>
          </w:p>
          <w:p>
            <w:pPr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结余专项资金额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（万元）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意见建议</w:t>
            </w:r>
            <w:r>
              <w:rPr>
                <w:rFonts w:hint="eastAsia" w:ascii="仿宋_GB2312" w:hAnsi="仿宋_GB2312" w:cs="仿宋_GB2312"/>
                <w:b w:val="0"/>
                <w:bCs w:val="0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。</w:t>
            </w: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ind w:left="0" w:leftChars="0" w:firstLine="272" w:firstLineChars="100"/>
              <w:rPr>
                <w:rFonts w:hint="default" w:eastAsia="仿宋_GB2312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行业评议得分</w:t>
            </w:r>
            <w:r>
              <w:rPr>
                <w:rFonts w:hint="eastAsia" w:eastAsia="仿宋_GB2312"/>
                <w:color w:val="0C0C0C"/>
                <w:spacing w:val="-4"/>
                <w:sz w:val="28"/>
                <w:szCs w:val="20"/>
                <w:highlight w:val="none"/>
                <w:lang w:eastAsia="zh-CN"/>
              </w:rPr>
              <w:t>：</w:t>
            </w:r>
            <w:r>
              <w:rPr>
                <w:rFonts w:hint="eastAsia" w:eastAsia="仿宋_GB2312"/>
                <w:color w:val="0C0C0C"/>
                <w:spacing w:val="-4"/>
                <w:sz w:val="28"/>
                <w:szCs w:val="20"/>
                <w:highlight w:val="none"/>
                <w:u w:val="single"/>
                <w:lang w:val="en-US" w:eastAsia="zh-CN"/>
              </w:rPr>
              <w:t xml:space="preserve">          </w:t>
            </w: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ind w:firstLine="272" w:firstLineChars="100"/>
              <w:rPr>
                <w:rFonts w:hint="default" w:eastAsia="仿宋_GB2312"/>
                <w:color w:val="0C0C0C"/>
                <w:spacing w:val="-4"/>
                <w:sz w:val="28"/>
                <w:szCs w:val="20"/>
                <w:highlight w:val="none"/>
                <w:u w:val="single"/>
                <w:lang w:val="en-US" w:eastAsia="zh-CN"/>
              </w:rPr>
            </w:pPr>
            <w:r>
              <w:rPr>
                <w:rFonts w:hint="eastAsia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财务</w:t>
            </w:r>
            <w:r>
              <w:rPr>
                <w:rFonts w:hint="eastAsia" w:eastAsia="仿宋_GB2312"/>
                <w:color w:val="0C0C0C"/>
                <w:spacing w:val="-4"/>
                <w:sz w:val="28"/>
                <w:szCs w:val="20"/>
                <w:highlight w:val="none"/>
                <w:lang w:eastAsia="zh-CN"/>
              </w:rPr>
              <w:t>评议得分：</w:t>
            </w:r>
            <w:r>
              <w:rPr>
                <w:rFonts w:hint="eastAsia" w:eastAsia="仿宋_GB2312"/>
                <w:color w:val="0C0C0C"/>
                <w:spacing w:val="-4"/>
                <w:sz w:val="28"/>
                <w:szCs w:val="20"/>
                <w:highlight w:val="none"/>
                <w:u w:val="single"/>
                <w:lang w:val="en-US" w:eastAsia="zh-CN"/>
              </w:rPr>
              <w:t xml:space="preserve">          </w:t>
            </w: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ind w:firstLine="272" w:firstLineChars="100"/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C0C0C"/>
                <w:spacing w:val="-4"/>
                <w:sz w:val="28"/>
                <w:szCs w:val="20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  <w:t xml:space="preserve">通过验收        </w:t>
            </w:r>
            <w:r>
              <w:rPr>
                <w:rFonts w:hint="eastAsia" w:ascii="Times New Roman" w:hAnsi="Times New Roman" w:cs="Times New Roman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C0C0C"/>
                <w:spacing w:val="-4"/>
                <w:sz w:val="28"/>
                <w:szCs w:val="20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  <w:lang w:eastAsia="zh-CN"/>
              </w:rPr>
              <w:t>结题</w:t>
            </w:r>
            <w:r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C0C0C"/>
                <w:spacing w:val="-4"/>
                <w:sz w:val="28"/>
                <w:szCs w:val="20"/>
                <w:highlight w:val="none"/>
              </w:rPr>
              <w:t xml:space="preserve">不通过验收 </w:t>
            </w:r>
          </w:p>
          <w:p>
            <w:pPr>
              <w:snapToGrid w:val="0"/>
              <w:spacing w:before="120" w:after="120" w:line="216" w:lineRule="auto"/>
              <w:rPr>
                <w:rFonts w:hint="default" w:eastAsia="仿宋_GB2312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0C0C0C"/>
                <w:spacing w:val="-4"/>
                <w:sz w:val="28"/>
                <w:szCs w:val="20"/>
                <w:highlight w:val="none"/>
                <w:lang w:val="en-US" w:eastAsia="zh-CN"/>
              </w:rPr>
              <w:t>（或整改后通过验收）</w:t>
            </w:r>
          </w:p>
          <w:p>
            <w:pPr>
              <w:snapToGrid w:val="0"/>
              <w:spacing w:before="120" w:after="120" w:line="216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216" w:lineRule="auto"/>
              <w:rPr>
                <w:rFonts w:hint="eastAsia"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  <w:p>
            <w:pPr>
              <w:snapToGrid w:val="0"/>
              <w:spacing w:before="120" w:after="120" w:line="480" w:lineRule="auto"/>
              <w:ind w:firstLine="4352" w:firstLineChars="1600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  <w:r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  <w:t>专家组组长：</w:t>
            </w:r>
          </w:p>
          <w:p>
            <w:pPr>
              <w:snapToGrid w:val="0"/>
              <w:spacing w:before="120" w:after="120" w:line="480" w:lineRule="auto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  <w:r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  <w:t xml:space="preserve">                                 副组长：                        </w:t>
            </w:r>
          </w:p>
          <w:p>
            <w:pPr>
              <w:snapToGrid w:val="0"/>
              <w:spacing w:before="120" w:after="120" w:line="216" w:lineRule="auto"/>
              <w:ind w:firstLine="5984" w:firstLineChars="2200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  <w:r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  <w:t>年   月   日</w:t>
            </w:r>
          </w:p>
          <w:p>
            <w:pPr>
              <w:snapToGrid w:val="0"/>
              <w:spacing w:before="120" w:after="120" w:line="216" w:lineRule="auto"/>
              <w:ind w:firstLine="5304" w:firstLineChars="1950"/>
              <w:rPr>
                <w:rFonts w:eastAsia="仿宋_GB2312"/>
                <w:color w:val="0C0C0C"/>
                <w:spacing w:val="-4"/>
                <w:sz w:val="28"/>
                <w:szCs w:val="20"/>
                <w:highlight w:val="none"/>
              </w:rPr>
            </w:pPr>
          </w:p>
        </w:tc>
      </w:tr>
    </w:tbl>
    <w:p>
      <w:pPr>
        <w:widowControl w:val="0"/>
        <w:wordWrap/>
        <w:adjustRightInd/>
        <w:snapToGrid/>
        <w:spacing w:line="560" w:lineRule="exact"/>
        <w:ind w:firstLine="0" w:firstLineChars="0"/>
        <w:jc w:val="center"/>
        <w:textAlignment w:val="auto"/>
        <w:outlineLvl w:val="9"/>
        <w:rPr>
          <w:rFonts w:hint="eastAsia" w:ascii="仿宋_GB2312" w:hAnsi="仿宋_GB2312" w:cs="仿宋_GB2312"/>
          <w:b/>
          <w:bCs/>
          <w:color w:val="0C0C0C"/>
          <w:sz w:val="36"/>
          <w:szCs w:val="36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/>
        </w:sectPr>
      </w:pPr>
    </w:p>
    <w:p>
      <w:pPr>
        <w:widowControl w:val="0"/>
        <w:wordWrap/>
        <w:adjustRightInd/>
        <w:snapToGrid/>
        <w:spacing w:line="560" w:lineRule="exact"/>
        <w:ind w:firstLine="0" w:firstLineChars="0"/>
        <w:jc w:val="center"/>
        <w:textAlignment w:val="auto"/>
        <w:outlineLvl w:val="9"/>
        <w:rPr>
          <w:rFonts w:hint="eastAsia" w:ascii="仿宋_GB2312" w:hAnsi="仿宋_GB2312" w:cs="仿宋_GB2312"/>
          <w:b/>
          <w:bCs/>
          <w:color w:val="0C0C0C"/>
          <w:sz w:val="36"/>
          <w:szCs w:val="36"/>
          <w:highlight w:val="none"/>
          <w:lang w:val="en-US" w:eastAsia="zh-CN"/>
        </w:rPr>
      </w:pPr>
      <w:r>
        <w:rPr>
          <w:rFonts w:hint="eastAsia" w:ascii="仿宋_GB2312" w:hAnsi="仿宋_GB2312" w:cs="仿宋_GB2312"/>
          <w:b/>
          <w:bCs/>
          <w:color w:val="0C0C0C"/>
          <w:sz w:val="36"/>
          <w:szCs w:val="36"/>
          <w:highlight w:val="none"/>
          <w:lang w:val="en-US" w:eastAsia="zh-CN"/>
        </w:rPr>
        <w:t>专家评议打分表说明</w:t>
      </w:r>
    </w:p>
    <w:p>
      <w:pPr>
        <w:pStyle w:val="5"/>
        <w:widowControl w:val="0"/>
        <w:numPr>
          <w:ilvl w:val="0"/>
          <w:numId w:val="1"/>
        </w:numPr>
        <w:wordWrap/>
        <w:adjustRightInd/>
        <w:snapToGrid/>
        <w:ind w:left="0"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验收结论分为三种：通过验收、结题、不通过验收。行业专家取平均分，财务专家取平均分，结论如下</w:t>
      </w:r>
    </w:p>
    <w:tbl>
      <w:tblPr>
        <w:tblW w:w="85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9"/>
        <w:gridCol w:w="1958"/>
        <w:gridCol w:w="1955"/>
        <w:gridCol w:w="2145"/>
      </w:tblGrid>
      <w:tr>
        <w:trPr>
          <w:trHeight w:val="1125" w:hRule="atLeast"/>
        </w:trPr>
        <w:tc>
          <w:tcPr>
            <w:tcW w:w="2519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财务分</w:t>
            </w:r>
          </w:p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行业分</w:t>
            </w:r>
          </w:p>
        </w:tc>
        <w:tc>
          <w:tcPr>
            <w:tcW w:w="1958" w:type="dxa"/>
            <w:vAlign w:val="center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&gt;80</w:t>
            </w:r>
          </w:p>
        </w:tc>
        <w:tc>
          <w:tcPr>
            <w:tcW w:w="1955" w:type="dxa"/>
            <w:vAlign w:val="center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60-80</w:t>
            </w:r>
          </w:p>
        </w:tc>
        <w:tc>
          <w:tcPr>
            <w:tcW w:w="2145" w:type="dxa"/>
            <w:vAlign w:val="center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spacing w:after="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&lt;60</w:t>
            </w:r>
          </w:p>
        </w:tc>
      </w:tr>
      <w:tr>
        <w:trPr>
          <w:trHeight w:val="679" w:hRule="atLeast"/>
        </w:trPr>
        <w:tc>
          <w:tcPr>
            <w:tcW w:w="2519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&gt;80</w:t>
            </w:r>
          </w:p>
        </w:tc>
        <w:tc>
          <w:tcPr>
            <w:tcW w:w="1958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</w:t>
            </w:r>
          </w:p>
        </w:tc>
        <w:tc>
          <w:tcPr>
            <w:tcW w:w="1955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结题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不通过</w:t>
            </w:r>
          </w:p>
        </w:tc>
      </w:tr>
      <w:tr>
        <w:trPr>
          <w:trHeight w:val="679" w:hRule="atLeast"/>
        </w:trPr>
        <w:tc>
          <w:tcPr>
            <w:tcW w:w="2519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60-80</w:t>
            </w:r>
          </w:p>
        </w:tc>
        <w:tc>
          <w:tcPr>
            <w:tcW w:w="1958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结题</w:t>
            </w:r>
          </w:p>
        </w:tc>
        <w:tc>
          <w:tcPr>
            <w:tcW w:w="1955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不通过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不通过</w:t>
            </w:r>
          </w:p>
        </w:tc>
      </w:tr>
      <w:tr>
        <w:trPr>
          <w:trHeight w:val="688" w:hRule="atLeast"/>
        </w:trPr>
        <w:tc>
          <w:tcPr>
            <w:tcW w:w="2519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&lt;60</w:t>
            </w:r>
          </w:p>
        </w:tc>
        <w:tc>
          <w:tcPr>
            <w:tcW w:w="1958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不通过</w:t>
            </w:r>
          </w:p>
        </w:tc>
        <w:tc>
          <w:tcPr>
            <w:tcW w:w="1955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不通过</w:t>
            </w:r>
          </w:p>
        </w:tc>
        <w:tc>
          <w:tcPr>
            <w:tcW w:w="2145" w:type="dxa"/>
            <w:vAlign w:val="top"/>
          </w:tcPr>
          <w:p>
            <w:pPr>
              <w:pStyle w:val="5"/>
              <w:widowControl w:val="0"/>
              <w:numPr>
                <w:numId w:val="0"/>
              </w:numPr>
              <w:wordWrap/>
              <w:adjustRightInd/>
              <w:snapToGrid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不通过</w:t>
            </w:r>
          </w:p>
        </w:tc>
      </w:tr>
    </w:tbl>
    <w:p>
      <w:pPr>
        <w:pStyle w:val="5"/>
        <w:widowControl w:val="0"/>
        <w:numPr>
          <w:ilvl w:val="0"/>
          <w:numId w:val="1"/>
        </w:numPr>
        <w:wordWrap/>
        <w:adjustRightInd/>
        <w:snapToGrid/>
        <w:ind w:left="0" w:lef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关于整改：因提供文件资料不详、难以判断等导致验收意见争议较大，承担单位不能清晰答复验收专家询问重要问题的，验收专家不能达成一致意见；研究过程及结果等存在纠纷尚未解决的项目，进行限期整改。整改期一般不超过3个月。整改项目不打分，只出具整改意见，整改意见分别列示技术整改、财务整改内容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19960506">
    <w:nsid w:val="131235BA"/>
    <w:multiLevelType w:val="singleLevel"/>
    <w:tmpl w:val="131235BA"/>
    <w:lvl w:ilvl="0" w:tentative="1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199605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1" w:firstLineChars="200"/>
      <w:jc w:val="both"/>
    </w:pPr>
    <w:rPr>
      <w:rFonts w:ascii="Calibri" w:hAnsi="Calibri" w:eastAsia="仿宋_GB2312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黑体"/>
      <w:b/>
      <w:bCs/>
      <w:szCs w:val="32"/>
    </w:rPr>
  </w:style>
  <w:style w:type="paragraph" w:styleId="3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1364</Words>
  <Characters>1440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2021-07-06T04:05:00Z</dcterms:created>
  <dc:creator>Administrator</dc:creator>
  <cp:lastModifiedBy>Administrator</cp:lastModifiedBy>
  <cp:lastPrinted>2023-05-16T04:48:00Z</cp:lastPrinted>
  <dcterms:modified xsi:type="dcterms:W3CDTF">2024-11-04T05:23:34Z</dcterms:modified>
  <dc:title>兵团科技项目验收行业专家评议表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2608EF1ADD0F45B5B60164390418A4CD_13</vt:lpwstr>
  </property>
</Properties>
</file>