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Lines="0" w:afterLines="0"/>
        <w:jc w:val="both"/>
        <w:rPr>
          <w:rFonts w:hint="eastAsia"/>
          <w:sz w:val="32"/>
          <w:szCs w:val="32"/>
          <w:shd w:val="clear" w:color="auto" w:fill="FFFFFF"/>
        </w:rPr>
      </w:pPr>
      <w:r>
        <w:rPr>
          <w:rFonts w:hint="eastAsia"/>
          <w:sz w:val="32"/>
          <w:szCs w:val="32"/>
          <w:shd w:val="clear" w:color="auto" w:fill="FFFFFF"/>
        </w:rPr>
        <w:t>附件</w:t>
      </w:r>
      <w:r>
        <w:rPr>
          <w:rFonts w:hint="eastAsia"/>
          <w:sz w:val="32"/>
          <w:szCs w:val="32"/>
          <w:shd w:val="clear" w:color="auto" w:fill="FFFFFF"/>
          <w:lang w:val="en-US" w:eastAsia="zh-CN"/>
        </w:rPr>
        <w:t>2</w:t>
      </w:r>
      <w:r>
        <w:rPr>
          <w:rFonts w:hint="eastAsia"/>
          <w:sz w:val="32"/>
          <w:szCs w:val="32"/>
          <w:shd w:val="clear" w:color="auto" w:fill="FFFFFF"/>
        </w:rPr>
        <w:t>：</w:t>
      </w:r>
    </w:p>
    <w:p>
      <w:pPr>
        <w:pStyle w:val="4"/>
        <w:pageBreakBefore w:val="0"/>
        <w:kinsoku/>
        <w:wordWrap/>
        <w:overflowPunct/>
        <w:topLinePunct w:val="0"/>
        <w:bidi w:val="0"/>
        <w:spacing w:beforeLines="0" w:afterLines="0" w:line="540" w:lineRule="exact"/>
        <w:ind w:firstLine="440" w:firstLineChars="100"/>
        <w:jc w:val="center"/>
        <w:textAlignment w:val="auto"/>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202</w:t>
      </w:r>
      <w:r>
        <w:rPr>
          <w:rFonts w:hint="eastAsia" w:cs="Times New Roman"/>
          <w:sz w:val="44"/>
          <w:szCs w:val="44"/>
          <w:lang w:val="en-US" w:eastAsia="zh-CN"/>
        </w:rPr>
        <w:t>4</w:t>
      </w:r>
      <w:r>
        <w:rPr>
          <w:rFonts w:hint="default" w:ascii="Times New Roman" w:hAnsi="Times New Roman" w:eastAsia="方正小标宋简体" w:cs="Times New Roman"/>
          <w:sz w:val="44"/>
          <w:szCs w:val="44"/>
        </w:rPr>
        <w:t>年重点领域科技攻关项目申报指南</w:t>
      </w:r>
    </w:p>
    <w:p>
      <w:pPr>
        <w:pageBreakBefore w:val="0"/>
        <w:widowControl w:val="0"/>
        <w:kinsoku/>
        <w:wordWrap/>
        <w:overflowPunct/>
        <w:topLinePunct w:val="0"/>
        <w:bidi w:val="0"/>
        <w:adjustRightInd/>
        <w:snapToGrid/>
        <w:spacing w:line="540" w:lineRule="exact"/>
        <w:ind w:left="640" w:leftChars="200" w:firstLine="0" w:firstLineChars="0"/>
        <w:jc w:val="both"/>
        <w:textAlignment w:val="auto"/>
        <w:rPr>
          <w:rFonts w:hint="default" w:ascii="Times New Roman" w:hAnsi="Times New Roman" w:cs="Times New Roman"/>
          <w:b/>
          <w:bCs/>
          <w:szCs w:val="32"/>
        </w:rPr>
      </w:pPr>
      <w:r>
        <w:rPr>
          <w:rFonts w:hint="default" w:ascii="Times New Roman" w:hAnsi="Times New Roman" w:eastAsia="黑体" w:cs="Times New Roman"/>
          <w:color w:val="000000"/>
          <w:szCs w:val="32"/>
        </w:rPr>
        <w:t>一、重点支持领域和方向</w:t>
      </w:r>
    </w:p>
    <w:p>
      <w:pPr>
        <w:pageBreakBefore w:val="0"/>
        <w:kinsoku/>
        <w:wordWrap/>
        <w:overflowPunct/>
        <w:topLinePunct w:val="0"/>
        <w:bidi w:val="0"/>
        <w:spacing w:line="540" w:lineRule="exact"/>
        <w:ind w:firstLine="640"/>
        <w:textAlignment w:val="auto"/>
        <w:rPr>
          <w:rFonts w:hint="default" w:ascii="Times New Roman" w:hAnsi="Times New Roman" w:eastAsia="楷体_GB2312" w:cs="Times New Roman"/>
          <w:b/>
          <w:bCs/>
          <w:color w:val="auto"/>
          <w:szCs w:val="32"/>
        </w:rPr>
      </w:pPr>
      <w:r>
        <w:rPr>
          <w:rFonts w:hint="default" w:ascii="Times New Roman" w:hAnsi="Times New Roman" w:eastAsia="楷体_GB2312" w:cs="Times New Roman"/>
          <w:b/>
          <w:bCs/>
          <w:color w:val="auto"/>
          <w:szCs w:val="32"/>
        </w:rPr>
        <w:t>（一）农业领域</w:t>
      </w:r>
    </w:p>
    <w:p>
      <w:pPr>
        <w:pageBreakBefore w:val="0"/>
        <w:kinsoku/>
        <w:wordWrap/>
        <w:overflowPunct/>
        <w:topLinePunct w:val="0"/>
        <w:bidi w:val="0"/>
        <w:spacing w:line="540" w:lineRule="exact"/>
        <w:ind w:firstLine="640"/>
        <w:textAlignment w:val="auto"/>
        <w:rPr>
          <w:rFonts w:hint="default" w:ascii="Times New Roman" w:hAnsi="Times New Roman" w:cs="Times New Roman"/>
          <w:color w:val="auto"/>
          <w:szCs w:val="32"/>
        </w:rPr>
      </w:pPr>
      <w:r>
        <w:rPr>
          <w:rFonts w:hint="eastAsia" w:cs="Times New Roman"/>
          <w:color w:val="auto"/>
          <w:szCs w:val="32"/>
          <w:lang w:val="en-US" w:eastAsia="zh-CN"/>
        </w:rPr>
        <w:t>坚持“稳粮、优棉、强果、兴畜”，</w:t>
      </w:r>
      <w:r>
        <w:rPr>
          <w:rFonts w:hint="default" w:ascii="Times New Roman" w:hAnsi="Times New Roman" w:cs="Times New Roman"/>
          <w:color w:val="auto"/>
          <w:szCs w:val="32"/>
        </w:rPr>
        <w:t>统筹一二三产融合发展，着力构建全产业链发展新格局。推动</w:t>
      </w:r>
      <w:r>
        <w:rPr>
          <w:rFonts w:hint="eastAsia" w:cs="Times New Roman"/>
          <w:color w:val="auto"/>
          <w:szCs w:val="32"/>
          <w:lang w:val="en-US" w:eastAsia="zh-CN"/>
        </w:rPr>
        <w:t>品种培优、品质提升和标准化生产，促进</w:t>
      </w:r>
      <w:r>
        <w:rPr>
          <w:rFonts w:hint="default" w:ascii="Times New Roman" w:hAnsi="Times New Roman" w:cs="Times New Roman"/>
          <w:color w:val="auto"/>
          <w:szCs w:val="32"/>
        </w:rPr>
        <w:t>一产提质增效。发挥大农业优势，强化农业科技和装备支撑，发展优势农产品、壮大优势产业，促进农牧业绿色高效发展</w:t>
      </w:r>
      <w:r>
        <w:rPr>
          <w:rFonts w:hint="eastAsia" w:ascii="Times New Roman" w:hAnsi="Times New Roman" w:cs="Times New Roman"/>
          <w:color w:val="auto"/>
          <w:szCs w:val="32"/>
          <w:lang w:eastAsia="zh-CN"/>
        </w:rPr>
        <w:t>，</w:t>
      </w:r>
      <w:r>
        <w:rPr>
          <w:rFonts w:hint="default" w:ascii="Times New Roman" w:hAnsi="Times New Roman" w:cs="Times New Roman"/>
          <w:color w:val="auto"/>
          <w:szCs w:val="32"/>
        </w:rPr>
        <w:t>为师市乡村振兴战略实施提供科技支撑。</w:t>
      </w:r>
    </w:p>
    <w:p>
      <w:pPr>
        <w:pageBreakBefore w:val="0"/>
        <w:widowControl w:val="0"/>
        <w:numPr>
          <w:ilvl w:val="0"/>
          <w:numId w:val="1"/>
        </w:numPr>
        <w:kinsoku/>
        <w:wordWrap/>
        <w:overflowPunct/>
        <w:topLinePunct w:val="0"/>
        <w:bidi w:val="0"/>
        <w:adjustRightInd/>
        <w:snapToGrid/>
        <w:spacing w:line="540" w:lineRule="exact"/>
        <w:ind w:firstLine="640"/>
        <w:jc w:val="both"/>
        <w:textAlignment w:val="auto"/>
        <w:rPr>
          <w:rFonts w:hint="default" w:ascii="Times New Roman" w:hAnsi="Times New Roman" w:cs="Times New Roman"/>
          <w:color w:val="auto"/>
          <w:szCs w:val="32"/>
        </w:rPr>
      </w:pPr>
      <w:r>
        <w:rPr>
          <w:rFonts w:hint="default" w:ascii="Times New Roman" w:hAnsi="Times New Roman" w:cs="Times New Roman"/>
          <w:b/>
          <w:bCs/>
          <w:color w:val="auto"/>
          <w:szCs w:val="32"/>
        </w:rPr>
        <w:t>农业</w:t>
      </w:r>
      <w:r>
        <w:rPr>
          <w:rFonts w:hint="eastAsia" w:cs="Times New Roman"/>
          <w:b/>
          <w:bCs/>
          <w:color w:val="auto"/>
          <w:szCs w:val="32"/>
          <w:lang w:val="en-US" w:eastAsia="zh-CN"/>
        </w:rPr>
        <w:t>产业振兴</w:t>
      </w:r>
      <w:r>
        <w:rPr>
          <w:rFonts w:hint="default" w:ascii="Times New Roman" w:hAnsi="Times New Roman" w:cs="Times New Roman"/>
          <w:b/>
          <w:bCs/>
          <w:color w:val="auto"/>
          <w:szCs w:val="32"/>
        </w:rPr>
        <w:t>与</w:t>
      </w:r>
      <w:r>
        <w:rPr>
          <w:rFonts w:hint="eastAsia" w:cs="Times New Roman"/>
          <w:b/>
          <w:bCs/>
          <w:color w:val="auto"/>
          <w:szCs w:val="32"/>
          <w:lang w:val="en-US" w:eastAsia="zh-CN"/>
        </w:rPr>
        <w:t>智能</w:t>
      </w:r>
      <w:r>
        <w:rPr>
          <w:rFonts w:hint="default" w:ascii="Times New Roman" w:hAnsi="Times New Roman" w:cs="Times New Roman"/>
          <w:b/>
          <w:bCs/>
          <w:color w:val="auto"/>
          <w:szCs w:val="32"/>
        </w:rPr>
        <w:t>生产。</w:t>
      </w:r>
      <w:r>
        <w:rPr>
          <w:rFonts w:hint="default" w:ascii="Times New Roman" w:hAnsi="Times New Roman" w:cs="Times New Roman"/>
          <w:color w:val="auto"/>
          <w:szCs w:val="32"/>
        </w:rPr>
        <w:t>围绕</w:t>
      </w:r>
      <w:r>
        <w:rPr>
          <w:rFonts w:hint="eastAsia" w:cs="Times New Roman"/>
          <w:color w:val="auto"/>
          <w:szCs w:val="32"/>
          <w:lang w:val="en-US" w:eastAsia="zh-CN"/>
        </w:rPr>
        <w:t>棉花、葡萄、果蔬等现代生产体系建设，强化粮食生产功能技术研究与应用，促进高效、轻简、节水、药肥膜减施减用等关键技术研究与应用，加快葡萄园管理及作物育种、采收等专用智能化装备</w:t>
      </w:r>
      <w:r>
        <w:rPr>
          <w:rFonts w:hint="default" w:ascii="Times New Roman" w:hAnsi="Times New Roman" w:cs="Times New Roman"/>
          <w:color w:val="auto"/>
          <w:szCs w:val="32"/>
        </w:rPr>
        <w:t>及</w:t>
      </w:r>
      <w:r>
        <w:rPr>
          <w:rFonts w:hint="eastAsia" w:cs="Times New Roman"/>
          <w:color w:val="auto"/>
          <w:szCs w:val="32"/>
          <w:lang w:val="en-US" w:eastAsia="zh-CN"/>
        </w:rPr>
        <w:t>信息</w:t>
      </w:r>
      <w:r>
        <w:rPr>
          <w:rFonts w:hint="default" w:ascii="Times New Roman" w:hAnsi="Times New Roman" w:cs="Times New Roman"/>
          <w:color w:val="auto"/>
          <w:szCs w:val="32"/>
        </w:rPr>
        <w:t>技术</w:t>
      </w:r>
      <w:r>
        <w:rPr>
          <w:rFonts w:hint="eastAsia" w:cs="Times New Roman"/>
          <w:color w:val="auto"/>
          <w:szCs w:val="32"/>
          <w:lang w:val="en-US" w:eastAsia="zh-CN"/>
        </w:rPr>
        <w:t>组装</w:t>
      </w:r>
      <w:r>
        <w:rPr>
          <w:rFonts w:hint="default" w:ascii="Times New Roman" w:hAnsi="Times New Roman" w:cs="Times New Roman"/>
          <w:color w:val="auto"/>
          <w:szCs w:val="32"/>
        </w:rPr>
        <w:t>应用</w:t>
      </w:r>
      <w:r>
        <w:rPr>
          <w:rFonts w:hint="eastAsia" w:cs="Times New Roman"/>
          <w:color w:val="auto"/>
          <w:szCs w:val="32"/>
          <w:lang w:val="en-US" w:eastAsia="zh-CN"/>
        </w:rPr>
        <w:t>示范</w:t>
      </w:r>
      <w:r>
        <w:rPr>
          <w:rFonts w:hint="default" w:ascii="Times New Roman" w:hAnsi="Times New Roman" w:cs="Times New Roman"/>
          <w:color w:val="auto"/>
          <w:szCs w:val="32"/>
        </w:rPr>
        <w:t>，</w:t>
      </w:r>
      <w:r>
        <w:rPr>
          <w:rFonts w:hint="eastAsia" w:cs="Times New Roman"/>
          <w:color w:val="auto"/>
          <w:szCs w:val="32"/>
          <w:lang w:val="en-US" w:eastAsia="zh-CN"/>
        </w:rPr>
        <w:t>加强盐碱地综合治理技术研究应用，开展规模化大田生产示范，支持早熟长绒棉等特新品类引种与试验示范</w:t>
      </w:r>
      <w:r>
        <w:rPr>
          <w:rFonts w:hint="default" w:ascii="Times New Roman" w:hAnsi="Times New Roman" w:cs="Times New Roman"/>
          <w:color w:val="auto"/>
          <w:szCs w:val="32"/>
        </w:rPr>
        <w:t>。</w:t>
      </w:r>
    </w:p>
    <w:p>
      <w:pPr>
        <w:pStyle w:val="18"/>
        <w:pageBreakBefore w:val="0"/>
        <w:widowControl w:val="0"/>
        <w:numPr>
          <w:ilvl w:val="0"/>
          <w:numId w:val="1"/>
        </w:numPr>
        <w:kinsoku/>
        <w:wordWrap/>
        <w:overflowPunct/>
        <w:topLinePunct w:val="0"/>
        <w:bidi w:val="0"/>
        <w:adjustRightInd/>
        <w:snapToGrid/>
        <w:spacing w:line="540" w:lineRule="exact"/>
        <w:ind w:firstLine="640"/>
        <w:jc w:val="both"/>
        <w:textAlignment w:val="auto"/>
        <w:rPr>
          <w:rFonts w:hint="default" w:ascii="Times New Roman" w:hAnsi="Times New Roman" w:cs="Times New Roman"/>
          <w:color w:val="auto"/>
          <w:szCs w:val="32"/>
        </w:rPr>
      </w:pPr>
      <w:r>
        <w:rPr>
          <w:rFonts w:hint="default" w:ascii="Times New Roman" w:hAnsi="Times New Roman" w:cs="Times New Roman"/>
          <w:b/>
          <w:bCs/>
          <w:color w:val="auto"/>
          <w:szCs w:val="32"/>
        </w:rPr>
        <w:t>养殖业</w:t>
      </w:r>
      <w:r>
        <w:rPr>
          <w:rFonts w:hint="eastAsia" w:cs="Times New Roman"/>
          <w:b/>
          <w:bCs/>
          <w:color w:val="auto"/>
          <w:szCs w:val="32"/>
          <w:lang w:val="en-US" w:eastAsia="zh-CN"/>
        </w:rPr>
        <w:t>及林草业</w:t>
      </w:r>
      <w:r>
        <w:rPr>
          <w:rFonts w:hint="default" w:ascii="Times New Roman" w:hAnsi="Times New Roman" w:cs="Times New Roman"/>
          <w:b/>
          <w:bCs/>
          <w:color w:val="auto"/>
          <w:szCs w:val="32"/>
        </w:rPr>
        <w:t>可持续发展。</w:t>
      </w:r>
      <w:r>
        <w:rPr>
          <w:rFonts w:hint="eastAsia" w:cs="Times New Roman"/>
          <w:color w:val="auto"/>
          <w:szCs w:val="32"/>
          <w:lang w:val="en-US" w:eastAsia="zh-CN"/>
        </w:rPr>
        <w:t>围绕“千百万亿工程”</w:t>
      </w:r>
      <w:r>
        <w:rPr>
          <w:rFonts w:hint="default" w:cs="Times New Roman"/>
          <w:color w:val="auto"/>
          <w:szCs w:val="32"/>
          <w:lang w:val="en-US" w:eastAsia="zh-CN"/>
        </w:rPr>
        <w:t>开展</w:t>
      </w:r>
      <w:r>
        <w:rPr>
          <w:rFonts w:hint="eastAsia" w:cs="Times New Roman"/>
          <w:color w:val="auto"/>
          <w:szCs w:val="32"/>
          <w:lang w:val="en-US" w:eastAsia="zh-CN"/>
        </w:rPr>
        <w:t>基于基因技术的主要</w:t>
      </w:r>
      <w:r>
        <w:rPr>
          <w:rFonts w:hint="default" w:cs="Times New Roman"/>
          <w:color w:val="auto"/>
          <w:szCs w:val="32"/>
          <w:lang w:val="en-US" w:eastAsia="zh-CN"/>
        </w:rPr>
        <w:t>畜禽</w:t>
      </w:r>
      <w:r>
        <w:rPr>
          <w:rFonts w:hint="eastAsia" w:cs="Times New Roman"/>
          <w:color w:val="auto"/>
          <w:szCs w:val="32"/>
          <w:lang w:val="en-US" w:eastAsia="zh-CN"/>
        </w:rPr>
        <w:t>品种优良个体检测及杂交改良技术研究，加强规模化奶牛场精准营养智能调控及乳酸耐受奶基因筛选与扩繁扩群，加强优质饲草现代高效节约生产管理技术集成与应用，</w:t>
      </w:r>
      <w:r>
        <w:rPr>
          <w:rFonts w:hint="default" w:cs="Times New Roman"/>
          <w:color w:val="auto"/>
          <w:szCs w:val="32"/>
          <w:lang w:val="en-US" w:eastAsia="zh-CN"/>
        </w:rPr>
        <w:t>推进</w:t>
      </w:r>
      <w:r>
        <w:rPr>
          <w:rFonts w:hint="eastAsia" w:cs="Times New Roman"/>
          <w:color w:val="auto"/>
          <w:szCs w:val="32"/>
          <w:lang w:val="en-US" w:eastAsia="zh-CN"/>
        </w:rPr>
        <w:t>大田秸秆残枝（叶）及畜禽</w:t>
      </w:r>
      <w:r>
        <w:rPr>
          <w:rFonts w:hint="default" w:cs="Times New Roman"/>
          <w:color w:val="auto"/>
          <w:szCs w:val="32"/>
          <w:lang w:val="en-US" w:eastAsia="zh-CN"/>
        </w:rPr>
        <w:t>养殖场</w:t>
      </w:r>
      <w:r>
        <w:rPr>
          <w:rFonts w:hint="eastAsia" w:cs="Times New Roman"/>
          <w:color w:val="auto"/>
          <w:szCs w:val="32"/>
          <w:lang w:val="en-US" w:eastAsia="zh-CN"/>
        </w:rPr>
        <w:t>等废弃物处理与循环利用</w:t>
      </w:r>
      <w:r>
        <w:rPr>
          <w:rFonts w:hint="default" w:cs="Times New Roman"/>
          <w:color w:val="auto"/>
          <w:szCs w:val="32"/>
          <w:lang w:val="en-US" w:eastAsia="zh-CN"/>
        </w:rPr>
        <w:t>技术</w:t>
      </w:r>
      <w:r>
        <w:rPr>
          <w:rFonts w:hint="eastAsia" w:cs="Times New Roman"/>
          <w:color w:val="auto"/>
          <w:szCs w:val="32"/>
          <w:lang w:val="en-US" w:eastAsia="zh-CN"/>
        </w:rPr>
        <w:t>集成示范，针对</w:t>
      </w:r>
      <w:r>
        <w:rPr>
          <w:rFonts w:hint="default" w:cs="Times New Roman"/>
          <w:color w:val="auto"/>
          <w:szCs w:val="32"/>
          <w:lang w:val="en-US" w:eastAsia="zh-CN"/>
        </w:rPr>
        <w:t>养殖业关键环节</w:t>
      </w:r>
      <w:r>
        <w:rPr>
          <w:rFonts w:hint="eastAsia" w:cs="Times New Roman"/>
          <w:color w:val="auto"/>
          <w:szCs w:val="32"/>
          <w:lang w:val="en-US" w:eastAsia="zh-CN"/>
        </w:rPr>
        <w:t>开展先进</w:t>
      </w:r>
      <w:r>
        <w:rPr>
          <w:rFonts w:hint="default" w:cs="Times New Roman"/>
          <w:color w:val="auto"/>
          <w:szCs w:val="32"/>
          <w:lang w:val="en-US" w:eastAsia="zh-CN"/>
        </w:rPr>
        <w:t>智慧</w:t>
      </w:r>
      <w:r>
        <w:rPr>
          <w:rFonts w:hint="eastAsia" w:cs="Times New Roman"/>
          <w:color w:val="auto"/>
          <w:szCs w:val="32"/>
          <w:lang w:val="en-US" w:eastAsia="zh-CN"/>
        </w:rPr>
        <w:t>作业及</w:t>
      </w:r>
      <w:r>
        <w:rPr>
          <w:rFonts w:hint="default" w:cs="Times New Roman"/>
          <w:color w:val="auto"/>
          <w:szCs w:val="32"/>
          <w:lang w:val="en-US" w:eastAsia="zh-CN"/>
        </w:rPr>
        <w:t>管理</w:t>
      </w:r>
      <w:r>
        <w:rPr>
          <w:rFonts w:hint="eastAsia" w:cs="Times New Roman"/>
          <w:color w:val="auto"/>
          <w:szCs w:val="32"/>
          <w:lang w:val="en-US" w:eastAsia="zh-CN"/>
        </w:rPr>
        <w:t>技术成果，</w:t>
      </w:r>
      <w:r>
        <w:rPr>
          <w:rFonts w:hint="default" w:cs="Times New Roman"/>
          <w:color w:val="auto"/>
          <w:szCs w:val="32"/>
          <w:lang w:val="en-US" w:eastAsia="zh-CN"/>
        </w:rPr>
        <w:t>支持管理信息化、</w:t>
      </w:r>
      <w:r>
        <w:rPr>
          <w:rFonts w:hint="eastAsia" w:cs="Times New Roman"/>
          <w:color w:val="auto"/>
          <w:szCs w:val="32"/>
          <w:lang w:val="en-US" w:eastAsia="zh-CN"/>
        </w:rPr>
        <w:t>作业无人化、</w:t>
      </w:r>
      <w:r>
        <w:rPr>
          <w:rFonts w:hint="default" w:cs="Times New Roman"/>
          <w:color w:val="auto"/>
          <w:szCs w:val="32"/>
          <w:lang w:val="en-US" w:eastAsia="zh-CN"/>
        </w:rPr>
        <w:t>知识共享等示范推广。</w:t>
      </w:r>
      <w:r>
        <w:rPr>
          <w:rFonts w:hint="eastAsia" w:cs="Times New Roman"/>
          <w:color w:val="auto"/>
          <w:szCs w:val="32"/>
          <w:lang w:val="en-US" w:eastAsia="zh-CN"/>
        </w:rPr>
        <w:t>开展特色药饲兼用植物及沙棘、油莎豆、文冠果等特种经济作物品种引进及规模化标准化栽培技术研究与示范。</w:t>
      </w:r>
    </w:p>
    <w:p>
      <w:pPr>
        <w:pStyle w:val="18"/>
        <w:pageBreakBefore w:val="0"/>
        <w:kinsoku/>
        <w:wordWrap/>
        <w:overflowPunct/>
        <w:topLinePunct w:val="0"/>
        <w:bidi w:val="0"/>
        <w:spacing w:line="540" w:lineRule="exact"/>
        <w:ind w:firstLine="640"/>
        <w:textAlignment w:val="auto"/>
        <w:rPr>
          <w:rFonts w:hint="default" w:ascii="Times New Roman" w:hAnsi="Times New Roman" w:cs="Times New Roman"/>
          <w:color w:val="auto"/>
          <w:szCs w:val="32"/>
        </w:rPr>
      </w:pPr>
      <w:r>
        <w:rPr>
          <w:rFonts w:hint="eastAsia" w:cs="Times New Roman"/>
          <w:b/>
          <w:bCs/>
          <w:color w:val="auto"/>
          <w:szCs w:val="32"/>
          <w:lang w:val="en-US" w:eastAsia="zh-CN"/>
        </w:rPr>
        <w:t>3</w:t>
      </w:r>
      <w:r>
        <w:rPr>
          <w:rFonts w:hint="default" w:ascii="Times New Roman" w:hAnsi="Times New Roman" w:cs="Times New Roman"/>
          <w:b/>
          <w:bCs/>
          <w:color w:val="auto"/>
          <w:szCs w:val="32"/>
        </w:rPr>
        <w:t>. 农业基层科技服务体系</w:t>
      </w:r>
      <w:r>
        <w:rPr>
          <w:rFonts w:hint="eastAsia" w:cs="Times New Roman"/>
          <w:b/>
          <w:bCs/>
          <w:color w:val="auto"/>
          <w:szCs w:val="32"/>
          <w:lang w:val="en-US" w:eastAsia="zh-CN"/>
        </w:rPr>
        <w:t>强化建设</w:t>
      </w:r>
      <w:r>
        <w:rPr>
          <w:rFonts w:hint="default" w:ascii="Times New Roman" w:hAnsi="Times New Roman" w:cs="Times New Roman"/>
          <w:b/>
          <w:bCs/>
          <w:color w:val="auto"/>
          <w:szCs w:val="32"/>
        </w:rPr>
        <w:t>。</w:t>
      </w:r>
      <w:r>
        <w:rPr>
          <w:rFonts w:hint="default" w:ascii="Times New Roman" w:hAnsi="Times New Roman" w:cs="Times New Roman"/>
          <w:color w:val="auto"/>
          <w:szCs w:val="32"/>
        </w:rPr>
        <w:t>以市场化驱动和公共服务供给为主线，</w:t>
      </w:r>
      <w:r>
        <w:rPr>
          <w:rFonts w:hint="eastAsia" w:cs="Times New Roman"/>
          <w:color w:val="auto"/>
          <w:szCs w:val="32"/>
          <w:lang w:val="en-US" w:eastAsia="zh-CN"/>
        </w:rPr>
        <w:t>面向</w:t>
      </w:r>
      <w:r>
        <w:rPr>
          <w:rFonts w:hint="default" w:ascii="Times New Roman" w:hAnsi="Times New Roman" w:cs="Times New Roman"/>
          <w:color w:val="auto"/>
          <w:szCs w:val="32"/>
        </w:rPr>
        <w:t>团场、连队（合作社）、农户，</w:t>
      </w:r>
      <w:r>
        <w:rPr>
          <w:rFonts w:hint="eastAsia" w:cs="Times New Roman"/>
          <w:color w:val="auto"/>
          <w:szCs w:val="32"/>
          <w:lang w:val="en-US" w:eastAsia="zh-CN"/>
        </w:rPr>
        <w:t>鼓励科研机构、企事业单位以骨干产业优势团场为基地，参考专家大院及科技小院等建设模式，以优良品种、绿色栽培、节水装备、智能农机、农资农具等为重点，加强先进科技成果优化熟化、配套技术及装备等组装组合，形成一批标准规范、可靠耐用、简便易用、效益突出的成熟技术包</w:t>
      </w:r>
      <w:r>
        <w:rPr>
          <w:rFonts w:hint="default" w:ascii="Times New Roman" w:hAnsi="Times New Roman" w:cs="Times New Roman"/>
          <w:color w:val="auto"/>
          <w:szCs w:val="32"/>
        </w:rPr>
        <w:t>。</w:t>
      </w:r>
    </w:p>
    <w:p>
      <w:pPr>
        <w:pStyle w:val="7"/>
        <w:pageBreakBefore w:val="0"/>
        <w:kinsoku/>
        <w:wordWrap/>
        <w:overflowPunct/>
        <w:topLinePunct w:val="0"/>
        <w:bidi w:val="0"/>
        <w:spacing w:line="540" w:lineRule="exact"/>
        <w:ind w:firstLine="64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（二）高新技术领域</w:t>
      </w:r>
    </w:p>
    <w:p>
      <w:pPr>
        <w:pageBreakBefore w:val="0"/>
        <w:kinsoku/>
        <w:wordWrap/>
        <w:overflowPunct/>
        <w:topLinePunct w:val="0"/>
        <w:autoSpaceDE w:val="0"/>
        <w:autoSpaceDN w:val="0"/>
        <w:bidi w:val="0"/>
        <w:adjustRightInd w:val="0"/>
        <w:spacing w:line="540" w:lineRule="exact"/>
        <w:ind w:firstLine="707" w:firstLineChars="221"/>
        <w:textAlignment w:val="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围绕</w:t>
      </w:r>
      <w:r>
        <w:rPr>
          <w:rFonts w:hint="default" w:ascii="Times New Roman" w:hAnsi="Times New Roman" w:eastAsia="仿宋_GB2312" w:cs="Times New Roman"/>
          <w:color w:val="000000"/>
          <w:kern w:val="0"/>
          <w:sz w:val="32"/>
          <w:szCs w:val="32"/>
          <w:lang w:val="en-US" w:eastAsia="zh-CN"/>
        </w:rPr>
        <w:t>打造现代工业体系，探索集约高效与绿色降碳相结合，大力实施强链、延链、补链行动，培育壮大特色优势产业集群。</w:t>
      </w:r>
      <w:r>
        <w:rPr>
          <w:rFonts w:hint="default" w:ascii="Times New Roman" w:hAnsi="Times New Roman" w:eastAsia="仿宋_GB2312" w:cs="Times New Roman"/>
          <w:color w:val="000000"/>
          <w:kern w:val="0"/>
          <w:sz w:val="32"/>
          <w:szCs w:val="32"/>
        </w:rPr>
        <w:t>重点支持</w:t>
      </w:r>
      <w:r>
        <w:rPr>
          <w:rFonts w:hint="default" w:ascii="Times New Roman" w:hAnsi="Times New Roman" w:eastAsia="仿宋_GB2312" w:cs="Times New Roman"/>
          <w:color w:val="000000"/>
          <w:kern w:val="0"/>
          <w:sz w:val="32"/>
          <w:szCs w:val="32"/>
          <w:lang w:val="en-US" w:eastAsia="zh-CN"/>
        </w:rPr>
        <w:t>新材料、</w:t>
      </w:r>
      <w:r>
        <w:rPr>
          <w:rFonts w:hint="default" w:ascii="Times New Roman" w:hAnsi="Times New Roman" w:eastAsia="仿宋_GB2312" w:cs="Times New Roman"/>
          <w:b w:val="0"/>
          <w:bCs/>
          <w:color w:val="000000" w:themeColor="text1"/>
          <w:kern w:val="0"/>
          <w:sz w:val="32"/>
          <w:szCs w:val="32"/>
          <w14:textFill>
            <w14:solidFill>
              <w14:schemeClr w14:val="tx1"/>
            </w14:solidFill>
          </w14:textFill>
        </w:rPr>
        <w:t>新能源</w:t>
      </w:r>
      <w:r>
        <w:rPr>
          <w:rFonts w:hint="eastAsia" w:cs="Times New Roman"/>
          <w:b w:val="0"/>
          <w:bCs/>
          <w:color w:val="000000" w:themeColor="text1"/>
          <w:kern w:val="0"/>
          <w:sz w:val="32"/>
          <w:szCs w:val="32"/>
          <w:lang w:val="en-US" w:eastAsia="zh-CN"/>
          <w14:textFill>
            <w14:solidFill>
              <w14:schemeClr w14:val="tx1"/>
            </w14:solidFill>
          </w14:textFill>
        </w:rPr>
        <w:t>与节能环保、</w:t>
      </w:r>
      <w:r>
        <w:rPr>
          <w:rFonts w:hint="default" w:ascii="Times New Roman" w:hAnsi="Times New Roman" w:eastAsia="仿宋_GB2312" w:cs="Times New Roman"/>
          <w:color w:val="000000"/>
          <w:kern w:val="0"/>
          <w:sz w:val="32"/>
          <w:szCs w:val="32"/>
          <w:lang w:val="en-US" w:eastAsia="zh-CN"/>
        </w:rPr>
        <w:t>先进装备制造</w:t>
      </w:r>
      <w:r>
        <w:rPr>
          <w:rFonts w:hint="eastAsia" w:cs="Times New Roman"/>
          <w:color w:val="000000"/>
          <w:kern w:val="0"/>
          <w:sz w:val="32"/>
          <w:szCs w:val="32"/>
          <w:lang w:val="en-US" w:eastAsia="zh-CN"/>
        </w:rPr>
        <w:t>、</w:t>
      </w:r>
      <w:r>
        <w:rPr>
          <w:rFonts w:hint="default" w:ascii="Times New Roman" w:hAnsi="Times New Roman" w:eastAsia="仿宋_GB2312" w:cs="Times New Roman"/>
          <w:color w:val="000000"/>
          <w:kern w:val="0"/>
          <w:sz w:val="32"/>
          <w:szCs w:val="32"/>
          <w:lang w:val="en-US" w:eastAsia="zh-CN"/>
        </w:rPr>
        <w:t>信息技术</w:t>
      </w:r>
      <w:r>
        <w:rPr>
          <w:rFonts w:hint="eastAsia" w:cs="Times New Roman"/>
          <w:color w:val="000000"/>
          <w:kern w:val="0"/>
          <w:sz w:val="32"/>
          <w:szCs w:val="32"/>
          <w:lang w:val="en-US" w:eastAsia="zh-CN"/>
        </w:rPr>
        <w:t>、</w:t>
      </w:r>
      <w:r>
        <w:rPr>
          <w:rFonts w:hint="default" w:ascii="Times New Roman" w:hAnsi="Times New Roman" w:eastAsia="仿宋_GB2312" w:cs="Times New Roman"/>
          <w:color w:val="000000"/>
          <w:kern w:val="0"/>
          <w:sz w:val="32"/>
          <w:szCs w:val="32"/>
          <w:lang w:val="en-US" w:eastAsia="zh-CN"/>
        </w:rPr>
        <w:t>农副产品精深加工</w:t>
      </w:r>
      <w:r>
        <w:rPr>
          <w:rFonts w:hint="eastAsia" w:cs="Times New Roman"/>
          <w:color w:val="000000"/>
          <w:kern w:val="0"/>
          <w:sz w:val="32"/>
          <w:szCs w:val="32"/>
          <w:lang w:val="en-US" w:eastAsia="zh-CN"/>
        </w:rPr>
        <w:t>等领域</w:t>
      </w:r>
      <w:r>
        <w:rPr>
          <w:rFonts w:hint="default" w:ascii="Times New Roman" w:hAnsi="Times New Roman" w:eastAsia="仿宋_GB2312" w:cs="Times New Roman"/>
          <w:color w:val="000000"/>
          <w:kern w:val="0"/>
          <w:sz w:val="32"/>
          <w:szCs w:val="32"/>
          <w:lang w:val="en-US" w:eastAsia="zh-CN"/>
        </w:rPr>
        <w:t>。</w:t>
      </w:r>
    </w:p>
    <w:p>
      <w:pPr>
        <w:pageBreakBefore w:val="0"/>
        <w:numPr>
          <w:ilvl w:val="0"/>
          <w:numId w:val="0"/>
        </w:numPr>
        <w:kinsoku/>
        <w:wordWrap/>
        <w:overflowPunct/>
        <w:topLinePunct w:val="0"/>
        <w:autoSpaceDE w:val="0"/>
        <w:autoSpaceDN w:val="0"/>
        <w:bidi w:val="0"/>
        <w:adjustRightInd w:val="0"/>
        <w:spacing w:line="540" w:lineRule="exact"/>
        <w:ind w:firstLine="643" w:firstLineChars="200"/>
        <w:textAlignment w:val="auto"/>
        <w:rPr>
          <w:rFonts w:hint="eastAsia" w:ascii="Times New Roman" w:hAnsi="Times New Roman" w:eastAsia="仿宋_GB2312" w:cs="Times New Roman"/>
          <w:color w:val="000000" w:themeColor="text1"/>
          <w:kern w:val="0"/>
          <w:sz w:val="32"/>
          <w:szCs w:val="32"/>
          <w:lang w:val="en-US" w:eastAsia="zh-CN"/>
          <w14:textFill>
            <w14:solidFill>
              <w14:schemeClr w14:val="tx1"/>
            </w14:solidFill>
          </w14:textFill>
        </w:rPr>
      </w:pPr>
      <w:r>
        <w:rPr>
          <w:rFonts w:hint="default" w:ascii="Times New Roman" w:hAnsi="Times New Roman" w:cs="Times New Roman"/>
          <w:b/>
          <w:kern w:val="0"/>
          <w:sz w:val="32"/>
          <w:szCs w:val="32"/>
          <w:lang w:val="en-US" w:eastAsia="zh-CN"/>
        </w:rPr>
        <w:t>1.</w:t>
      </w:r>
      <w:r>
        <w:rPr>
          <w:rFonts w:hint="default" w:ascii="Times New Roman" w:hAnsi="Times New Roman" w:eastAsia="仿宋_GB2312" w:cs="Times New Roman"/>
          <w:b/>
          <w:kern w:val="0"/>
          <w:sz w:val="32"/>
          <w:szCs w:val="32"/>
        </w:rPr>
        <w:t>新材料。</w:t>
      </w:r>
      <w:r>
        <w:rPr>
          <w:rFonts w:hint="eastAsia" w:cs="Times New Roman"/>
          <w:b w:val="0"/>
          <w:bCs/>
          <w:kern w:val="0"/>
          <w:sz w:val="32"/>
          <w:szCs w:val="32"/>
          <w:lang w:val="en-US" w:eastAsia="zh-CN"/>
        </w:rPr>
        <w:t>支持碳基新材料、硅基新材料、铝基新材料</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及下游新材料研究开发与示范应用</w:t>
      </w:r>
      <w:r>
        <w:rPr>
          <w:rFonts w:hint="eastAsia" w:cs="Times New Roman"/>
          <w:color w:val="000000" w:themeColor="text1"/>
          <w:kern w:val="0"/>
          <w:sz w:val="32"/>
          <w:szCs w:val="32"/>
          <w:lang w:eastAsia="zh-CN" w:bidi="ar"/>
          <w14:textFill>
            <w14:solidFill>
              <w14:schemeClr w14:val="tx1"/>
            </w14:solidFill>
          </w14:textFill>
        </w:rPr>
        <w:t>；</w:t>
      </w:r>
      <w:r>
        <w:rPr>
          <w:rFonts w:hint="eastAsia" w:cs="Times New Roman"/>
          <w:color w:val="000000" w:themeColor="text1"/>
          <w:kern w:val="0"/>
          <w:sz w:val="32"/>
          <w:szCs w:val="32"/>
          <w:lang w:val="en-US" w:eastAsia="zh-CN"/>
          <w14:textFill>
            <w14:solidFill>
              <w14:schemeClr w14:val="tx1"/>
            </w14:solidFill>
          </w14:textFill>
        </w:rPr>
        <w:t>支持单晶硅、多晶硅、碳化硅、有机硅、电解铝、高纯铝、高纯氧化铝、高强韧铝合金、电子铝箔、电极箔</w:t>
      </w:r>
      <w:r>
        <w:rPr>
          <w:rFonts w:hint="default" w:ascii="Times New Roman" w:hAnsi="Times New Roman" w:eastAsia="仿宋_GB2312" w:cs="Times New Roman"/>
          <w:color w:val="000000" w:themeColor="text1"/>
          <w:kern w:val="0"/>
          <w:sz w:val="32"/>
          <w:szCs w:val="32"/>
          <w14:textFill>
            <w14:solidFill>
              <w14:schemeClr w14:val="tx1"/>
            </w14:solidFill>
          </w14:textFill>
        </w:rPr>
        <w:t>等的</w:t>
      </w:r>
      <w:r>
        <w:rPr>
          <w:rFonts w:hint="eastAsia" w:cs="Times New Roman"/>
          <w:color w:val="000000" w:themeColor="text1"/>
          <w:kern w:val="0"/>
          <w:sz w:val="32"/>
          <w:szCs w:val="32"/>
          <w:lang w:val="en-US" w:eastAsia="zh-CN"/>
          <w14:textFill>
            <w14:solidFill>
              <w14:schemeClr w14:val="tx1"/>
            </w14:solidFill>
          </w14:textFill>
        </w:rPr>
        <w:t>制造技术；支持新能源材料、电子信息材料、生物医用材料、新型交通运输材料、新型化工材料、环保节能材料的</w:t>
      </w:r>
      <w:r>
        <w:rPr>
          <w:rFonts w:hint="default" w:ascii="Times New Roman" w:hAnsi="Times New Roman" w:eastAsia="仿宋_GB2312" w:cs="Times New Roman"/>
          <w:color w:val="000000" w:themeColor="text1"/>
          <w:kern w:val="0"/>
          <w:sz w:val="32"/>
          <w:szCs w:val="32"/>
          <w14:textFill>
            <w14:solidFill>
              <w14:schemeClr w14:val="tx1"/>
            </w14:solidFill>
          </w14:textFill>
        </w:rPr>
        <w:t>研究</w:t>
      </w:r>
      <w:r>
        <w:rPr>
          <w:rFonts w:hint="eastAsia" w:cs="Times New Roman"/>
          <w:color w:val="000000" w:themeColor="text1"/>
          <w:kern w:val="0"/>
          <w:sz w:val="32"/>
          <w:szCs w:val="32"/>
          <w:lang w:val="en-US" w:eastAsia="zh-CN"/>
          <w14:textFill>
            <w14:solidFill>
              <w14:schemeClr w14:val="tx1"/>
            </w14:solidFill>
          </w14:textFill>
        </w:rPr>
        <w:t>与</w:t>
      </w:r>
      <w:r>
        <w:rPr>
          <w:rFonts w:hint="default" w:ascii="Times New Roman" w:hAnsi="Times New Roman" w:eastAsia="仿宋_GB2312" w:cs="Times New Roman"/>
          <w:color w:val="000000" w:themeColor="text1"/>
          <w:kern w:val="0"/>
          <w:sz w:val="32"/>
          <w:szCs w:val="32"/>
          <w14:textFill>
            <w14:solidFill>
              <w14:schemeClr w14:val="tx1"/>
            </w14:solidFill>
          </w14:textFill>
        </w:rPr>
        <w:t>开发</w:t>
      </w:r>
      <w:r>
        <w:rPr>
          <w:rFonts w:hint="eastAsia" w:cs="Times New Roman"/>
          <w:color w:val="000000" w:themeColor="text1"/>
          <w:kern w:val="0"/>
          <w:sz w:val="32"/>
          <w:szCs w:val="32"/>
          <w:lang w:eastAsia="zh-CN"/>
          <w14:textFill>
            <w14:solidFill>
              <w14:schemeClr w14:val="tx1"/>
            </w14:solidFill>
          </w14:textFill>
        </w:rPr>
        <w:t>。</w:t>
      </w:r>
    </w:p>
    <w:p>
      <w:pPr>
        <w:pageBreakBefore w:val="0"/>
        <w:numPr>
          <w:ilvl w:val="0"/>
          <w:numId w:val="0"/>
        </w:numPr>
        <w:kinsoku/>
        <w:wordWrap/>
        <w:overflowPunct/>
        <w:topLinePunct w:val="0"/>
        <w:autoSpaceDE w:val="0"/>
        <w:autoSpaceDN w:val="0"/>
        <w:bidi w:val="0"/>
        <w:adjustRightInd w:val="0"/>
        <w:spacing w:line="540" w:lineRule="exact"/>
        <w:ind w:firstLine="643" w:firstLineChars="200"/>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b/>
          <w:color w:val="000000" w:themeColor="text1"/>
          <w:kern w:val="0"/>
          <w:sz w:val="32"/>
          <w:szCs w:val="32"/>
          <w:lang w:val="en-US" w:eastAsia="zh-CN"/>
          <w14:textFill>
            <w14:solidFill>
              <w14:schemeClr w14:val="tx1"/>
            </w14:solidFill>
          </w14:textFill>
        </w:rPr>
        <w:t>2.</w:t>
      </w:r>
      <w:r>
        <w:rPr>
          <w:rFonts w:hint="default" w:ascii="Times New Roman" w:hAnsi="Times New Roman" w:eastAsia="仿宋_GB2312" w:cs="Times New Roman"/>
          <w:b/>
          <w:color w:val="000000" w:themeColor="text1"/>
          <w:kern w:val="0"/>
          <w:sz w:val="32"/>
          <w:szCs w:val="32"/>
          <w14:textFill>
            <w14:solidFill>
              <w14:schemeClr w14:val="tx1"/>
            </w14:solidFill>
          </w14:textFill>
        </w:rPr>
        <w:t>新能源</w:t>
      </w:r>
      <w:r>
        <w:rPr>
          <w:rFonts w:hint="eastAsia" w:cs="Times New Roman"/>
          <w:b/>
          <w:color w:val="000000" w:themeColor="text1"/>
          <w:kern w:val="0"/>
          <w:sz w:val="32"/>
          <w:szCs w:val="32"/>
          <w:lang w:val="en-US" w:eastAsia="zh-CN"/>
          <w14:textFill>
            <w14:solidFill>
              <w14:schemeClr w14:val="tx1"/>
            </w14:solidFill>
          </w14:textFill>
        </w:rPr>
        <w:t>与节能环保</w:t>
      </w:r>
      <w:r>
        <w:rPr>
          <w:rFonts w:hint="default" w:ascii="Times New Roman" w:hAnsi="Times New Roman" w:eastAsia="仿宋_GB2312" w:cs="Times New Roman"/>
          <w:b/>
          <w:color w:val="000000" w:themeColor="text1"/>
          <w:kern w:val="0"/>
          <w:sz w:val="32"/>
          <w:szCs w:val="32"/>
          <w14:textFill>
            <w14:solidFill>
              <w14:schemeClr w14:val="tx1"/>
            </w14:solidFill>
          </w14:textFill>
        </w:rPr>
        <w:t>。</w:t>
      </w:r>
      <w:r>
        <w:rPr>
          <w:rFonts w:hint="eastAsia" w:cs="Times New Roman"/>
          <w:b w:val="0"/>
          <w:bCs/>
          <w:color w:val="000000" w:themeColor="text1"/>
          <w:kern w:val="0"/>
          <w:sz w:val="32"/>
          <w:szCs w:val="32"/>
          <w:lang w:val="en-US" w:eastAsia="zh-CN"/>
          <w14:textFill>
            <w14:solidFill>
              <w14:schemeClr w14:val="tx1"/>
            </w14:solidFill>
          </w14:textFill>
        </w:rPr>
        <w:t>聚焦“碳达峰、碳中和”目标，支持可再生能源技术、清洁能源技术；支持重点领域、产业的能源替代和技术节能改造，低碳生活、碳足迹等减碳行为的开发与应用；支持绿碳与碳循环技术、碳捕集与封存技术、煤炭清洁高效利用技术；支持大气、水、土壤环境保护技术，工业废水、废气、废渣处理技术研究与开发，建筑垃圾资源化利用</w:t>
      </w:r>
      <w:r>
        <w:rPr>
          <w:rFonts w:hint="default" w:ascii="Times New Roman" w:hAnsi="Times New Roman" w:eastAsia="仿宋_GB2312" w:cs="Times New Roman"/>
          <w:color w:val="000000" w:themeColor="text1"/>
          <w:kern w:val="0"/>
          <w:sz w:val="32"/>
          <w:szCs w:val="32"/>
          <w:lang w:eastAsia="zh-CN"/>
          <w14:textFill>
            <w14:solidFill>
              <w14:schemeClr w14:val="tx1"/>
            </w14:solidFill>
          </w14:textFill>
        </w:rPr>
        <w:t>。</w:t>
      </w:r>
    </w:p>
    <w:p>
      <w:pPr>
        <w:pStyle w:val="7"/>
        <w:pageBreakBefore w:val="0"/>
        <w:kinsoku/>
        <w:wordWrap/>
        <w:overflowPunct/>
        <w:topLinePunct w:val="0"/>
        <w:bidi w:val="0"/>
        <w:spacing w:line="540" w:lineRule="exact"/>
        <w:ind w:firstLine="643"/>
        <w:textAlignment w:val="auto"/>
        <w:rPr>
          <w:rFonts w:hint="eastAsia" w:cs="Times New Roman"/>
          <w:b/>
          <w:bCs/>
          <w:color w:val="000000" w:themeColor="text1"/>
          <w:kern w:val="0"/>
          <w:sz w:val="32"/>
          <w:szCs w:val="32"/>
          <w:lang w:val="en-US" w:eastAsia="zh-CN"/>
          <w14:textFill>
            <w14:solidFill>
              <w14:schemeClr w14:val="tx1"/>
            </w14:solidFill>
          </w14:textFill>
        </w:rPr>
      </w:pPr>
      <w:r>
        <w:rPr>
          <w:rFonts w:hint="eastAsia" w:cs="Times New Roman"/>
          <w:b/>
          <w:color w:val="000000" w:themeColor="text1"/>
          <w:kern w:val="0"/>
          <w:sz w:val="32"/>
          <w:szCs w:val="32"/>
          <w:lang w:val="en-US" w:eastAsia="zh-CN"/>
          <w14:textFill>
            <w14:solidFill>
              <w14:schemeClr w14:val="tx1"/>
            </w14:solidFill>
          </w14:textFill>
        </w:rPr>
        <w:t>3</w:t>
      </w:r>
      <w:r>
        <w:rPr>
          <w:rFonts w:hint="eastAsia" w:cs="Times New Roman"/>
          <w:b/>
          <w:color w:val="000000" w:themeColor="text1"/>
          <w:kern w:val="0"/>
          <w:sz w:val="32"/>
          <w:szCs w:val="32"/>
          <w:lang w:eastAsia="zh-CN"/>
          <w14:textFill>
            <w14:solidFill>
              <w14:schemeClr w14:val="tx1"/>
            </w14:solidFill>
          </w14:textFill>
        </w:rPr>
        <w:t>.</w:t>
      </w:r>
      <w:r>
        <w:rPr>
          <w:rFonts w:hint="default" w:ascii="Times New Roman" w:hAnsi="Times New Roman" w:cs="Times New Roman"/>
          <w:b/>
          <w:bCs/>
          <w:color w:val="000000" w:themeColor="text1"/>
          <w:kern w:val="0"/>
          <w:sz w:val="32"/>
          <w:szCs w:val="32"/>
          <w:lang w:val="en-US" w:eastAsia="zh-CN"/>
          <w14:textFill>
            <w14:solidFill>
              <w14:schemeClr w14:val="tx1"/>
            </w14:solidFill>
          </w14:textFill>
        </w:rPr>
        <w:t>先进装备制造</w:t>
      </w:r>
      <w:r>
        <w:rPr>
          <w:rFonts w:hint="eastAsia" w:cs="Times New Roman"/>
          <w:b/>
          <w:bCs/>
          <w:color w:val="000000" w:themeColor="text1"/>
          <w:kern w:val="0"/>
          <w:sz w:val="32"/>
          <w:szCs w:val="32"/>
          <w:lang w:val="en-US" w:eastAsia="zh-CN"/>
          <w14:textFill>
            <w14:solidFill>
              <w14:schemeClr w14:val="tx1"/>
            </w14:solidFill>
          </w14:textFill>
        </w:rPr>
        <w:t>。</w:t>
      </w:r>
      <w:r>
        <w:rPr>
          <w:rFonts w:hint="eastAsia" w:cs="Times New Roman"/>
          <w:b w:val="0"/>
          <w:bCs w:val="0"/>
          <w:color w:val="000000" w:themeColor="text1"/>
          <w:kern w:val="0"/>
          <w:sz w:val="32"/>
          <w:szCs w:val="32"/>
          <w:lang w:val="en-US" w:eastAsia="zh-CN"/>
          <w14:textFill>
            <w14:solidFill>
              <w14:schemeClr w14:val="tx1"/>
            </w14:solidFill>
          </w14:textFill>
        </w:rPr>
        <w:t>支持工业机器人、自动化生产线等自动化设备的制造；支持太阳能、风能、氢能、生物质能等新能源设备及能源节约和环境保护设备的制造；支持3D打印技术和增材制造、智能家居与家电制造、基设施与建筑材料制造、交通装备制造、食品加工设备制造、农业自动化设备制造、航空设备制造、医药与生物医学领域装备制造。</w:t>
      </w:r>
    </w:p>
    <w:p>
      <w:pPr>
        <w:pageBreakBefore w:val="0"/>
        <w:numPr>
          <w:ilvl w:val="0"/>
          <w:numId w:val="0"/>
        </w:numPr>
        <w:kinsoku/>
        <w:wordWrap/>
        <w:overflowPunct/>
        <w:topLinePunct w:val="0"/>
        <w:bidi w:val="0"/>
        <w:spacing w:line="540" w:lineRule="exact"/>
        <w:ind w:firstLine="643" w:firstLineChars="200"/>
        <w:textAlignment w:val="auto"/>
        <w:rPr>
          <w:rFonts w:hint="default" w:ascii="Times New Roman" w:hAnsi="Times New Roman" w:cs="Times New Roman"/>
          <w:color w:val="FF0000"/>
          <w:kern w:val="0"/>
          <w:sz w:val="32"/>
          <w:szCs w:val="32"/>
          <w:lang w:val="en-US" w:eastAsia="zh-CN"/>
        </w:rPr>
      </w:pPr>
      <w:r>
        <w:rPr>
          <w:rFonts w:hint="eastAsia" w:cs="Times New Roman"/>
          <w:b/>
          <w:color w:val="000000" w:themeColor="text1"/>
          <w:kern w:val="0"/>
          <w:sz w:val="32"/>
          <w:szCs w:val="32"/>
          <w:lang w:val="en-US" w:eastAsia="zh-CN"/>
          <w14:textFill>
            <w14:solidFill>
              <w14:schemeClr w14:val="tx1"/>
            </w14:solidFill>
          </w14:textFill>
        </w:rPr>
        <w:t>4</w:t>
      </w:r>
      <w:r>
        <w:rPr>
          <w:rFonts w:hint="default" w:ascii="Times New Roman" w:hAnsi="Times New Roman" w:cs="Times New Roman"/>
          <w:b/>
          <w:color w:val="000000" w:themeColor="text1"/>
          <w:kern w:val="0"/>
          <w:sz w:val="32"/>
          <w:szCs w:val="32"/>
          <w:lang w:val="en-US" w:eastAsia="zh-CN"/>
          <w14:textFill>
            <w14:solidFill>
              <w14:schemeClr w14:val="tx1"/>
            </w14:solidFill>
          </w14:textFill>
        </w:rPr>
        <w:t>.</w:t>
      </w:r>
      <w:r>
        <w:rPr>
          <w:rFonts w:hint="default" w:ascii="Times New Roman" w:hAnsi="Times New Roman" w:eastAsia="仿宋_GB2312" w:cs="Times New Roman"/>
          <w:b/>
          <w:color w:val="000000" w:themeColor="text1"/>
          <w:kern w:val="0"/>
          <w:sz w:val="32"/>
          <w:szCs w:val="32"/>
          <w14:textFill>
            <w14:solidFill>
              <w14:schemeClr w14:val="tx1"/>
            </w14:solidFill>
          </w14:textFill>
        </w:rPr>
        <w:t>信息技术。</w:t>
      </w:r>
      <w:r>
        <w:rPr>
          <w:rFonts w:hint="eastAsia" w:cs="Times New Roman"/>
          <w:b w:val="0"/>
          <w:bCs/>
          <w:color w:val="000000" w:themeColor="text1"/>
          <w:kern w:val="0"/>
          <w:sz w:val="32"/>
          <w:szCs w:val="32"/>
          <w:lang w:val="en-US" w:eastAsia="zh-CN"/>
          <w14:textFill>
            <w14:solidFill>
              <w14:schemeClr w14:val="tx1"/>
            </w14:solidFill>
          </w14:textFill>
        </w:rPr>
        <w:t>支持</w:t>
      </w:r>
      <w:r>
        <w:rPr>
          <w:rFonts w:hint="eastAsia" w:ascii="仿宋_GB2312" w:hAnsi="仿宋_GB2312" w:cs="仿宋_GB2312"/>
          <w:color w:val="000000" w:themeColor="text1"/>
          <w:kern w:val="0"/>
          <w:sz w:val="32"/>
          <w:szCs w:val="32"/>
          <w:lang w:val="en-US" w:eastAsia="zh-CN"/>
          <w14:textFill>
            <w14:solidFill>
              <w14:schemeClr w14:val="tx1"/>
            </w14:solidFill>
          </w14:textFill>
        </w:rPr>
        <w:t>企业数字化转型、人工智能、机器学习、深度学习、智能工厂、智慧城市、智慧农业、物联网技术、智慧决策、数字孪生、电网安全保障技术、大数据可视化处理与分析、</w:t>
      </w:r>
      <w:r>
        <w:rPr>
          <w:rFonts w:hint="default" w:ascii="Times New Roman" w:hAnsi="Times New Roman" w:cs="Times New Roman"/>
          <w:color w:val="000000" w:themeColor="text1"/>
          <w:kern w:val="0"/>
          <w:sz w:val="32"/>
          <w:szCs w:val="32"/>
          <w:lang w:val="en-US" w:eastAsia="zh-CN"/>
          <w14:textFill>
            <w14:solidFill>
              <w14:schemeClr w14:val="tx1"/>
            </w14:solidFill>
          </w14:textFill>
        </w:rPr>
        <w:t>5G</w:t>
      </w:r>
      <w:r>
        <w:rPr>
          <w:rFonts w:hint="eastAsia" w:ascii="仿宋_GB2312" w:hAnsi="仿宋_GB2312" w:cs="仿宋_GB2312"/>
          <w:color w:val="000000" w:themeColor="text1"/>
          <w:kern w:val="0"/>
          <w:sz w:val="32"/>
          <w:szCs w:val="32"/>
          <w:lang w:val="en-US" w:eastAsia="zh-CN"/>
          <w14:textFill>
            <w14:solidFill>
              <w14:schemeClr w14:val="tx1"/>
            </w14:solidFill>
          </w14:textFill>
        </w:rPr>
        <w:t>技术、软件研究等方向。</w:t>
      </w:r>
    </w:p>
    <w:p>
      <w:pPr>
        <w:pageBreakBefore w:val="0"/>
        <w:widowControl w:val="0"/>
        <w:kinsoku/>
        <w:wordWrap/>
        <w:overflowPunct/>
        <w:topLinePunct w:val="0"/>
        <w:bidi w:val="0"/>
        <w:adjustRightInd/>
        <w:snapToGrid/>
        <w:spacing w:line="540" w:lineRule="exact"/>
        <w:ind w:firstLine="640"/>
        <w:textAlignment w:val="auto"/>
        <w:rPr>
          <w:rFonts w:hint="default" w:ascii="Times New Roman" w:hAnsi="Times New Roman" w:eastAsia="仿宋_GB2312" w:cs="Times New Roman"/>
          <w:color w:val="000000" w:themeColor="text1"/>
          <w:kern w:val="0"/>
          <w:sz w:val="32"/>
          <w:szCs w:val="32"/>
          <w14:textFill>
            <w14:solidFill>
              <w14:schemeClr w14:val="tx1"/>
            </w14:solidFill>
          </w14:textFill>
        </w:rPr>
      </w:pPr>
      <w:r>
        <w:rPr>
          <w:rFonts w:hint="eastAsia" w:cs="Times New Roman"/>
          <w:b/>
          <w:color w:val="000000" w:themeColor="text1"/>
          <w:kern w:val="0"/>
          <w:sz w:val="32"/>
          <w:szCs w:val="32"/>
          <w:lang w:val="en-US" w:eastAsia="zh-CN"/>
          <w14:textFill>
            <w14:solidFill>
              <w14:schemeClr w14:val="tx1"/>
            </w14:solidFill>
          </w14:textFill>
        </w:rPr>
        <w:t>5.</w:t>
      </w:r>
      <w:r>
        <w:rPr>
          <w:rFonts w:hint="default" w:ascii="Times New Roman" w:hAnsi="Times New Roman" w:eastAsia="仿宋_GB2312" w:cs="Times New Roman"/>
          <w:b/>
          <w:color w:val="000000" w:themeColor="text1"/>
          <w:kern w:val="0"/>
          <w:sz w:val="32"/>
          <w:szCs w:val="32"/>
          <w14:textFill>
            <w14:solidFill>
              <w14:schemeClr w14:val="tx1"/>
            </w14:solidFill>
          </w14:textFill>
        </w:rPr>
        <w:t>农副产品精深加工。</w:t>
      </w:r>
      <w:r>
        <w:rPr>
          <w:rFonts w:hint="default" w:ascii="Times New Roman" w:hAnsi="Times New Roman" w:eastAsia="仿宋_GB2312" w:cs="Times New Roman"/>
          <w:color w:val="000000" w:themeColor="text1"/>
          <w:kern w:val="0"/>
          <w:sz w:val="32"/>
          <w:szCs w:val="32"/>
          <w14:textFill>
            <w14:solidFill>
              <w14:schemeClr w14:val="tx1"/>
            </w14:solidFill>
          </w14:textFill>
        </w:rPr>
        <w:t>围绕师市特色优质农产品资源，重点支持乳制品、</w:t>
      </w:r>
      <w:r>
        <w:rPr>
          <w:rFonts w:hint="default" w:ascii="Times New Roman" w:hAnsi="Times New Roman" w:eastAsia="仿宋_GB2312" w:cs="Times New Roman"/>
          <w:color w:val="000000" w:themeColor="text1"/>
          <w:kern w:val="0"/>
          <w:sz w:val="32"/>
          <w:szCs w:val="32"/>
          <w:lang w:val="en-US" w:eastAsia="zh-CN"/>
          <w14:textFill>
            <w14:solidFill>
              <w14:schemeClr w14:val="tx1"/>
            </w14:solidFill>
          </w14:textFill>
        </w:rPr>
        <w:t>肉制品、果蔬加工</w:t>
      </w:r>
      <w:r>
        <w:rPr>
          <w:rFonts w:hint="eastAsia" w:ascii="仿宋_GB2312" w:hAnsi="仿宋_GB2312" w:cs="仿宋_GB2312"/>
          <w:color w:val="000000" w:themeColor="text1"/>
          <w:kern w:val="0"/>
          <w:sz w:val="32"/>
          <w:szCs w:val="32"/>
          <w:lang w:val="en-US" w:eastAsia="zh-CN"/>
          <w14:textFill>
            <w14:solidFill>
              <w14:schemeClr w14:val="tx1"/>
            </w14:solidFill>
          </w14:textFill>
        </w:rPr>
        <w:t>、葡萄酒、白酒产业</w:t>
      </w:r>
      <w:r>
        <w:rPr>
          <w:rFonts w:hint="default" w:ascii="Times New Roman" w:hAnsi="Times New Roman" w:eastAsia="仿宋_GB2312" w:cs="Times New Roman"/>
          <w:color w:val="000000" w:themeColor="text1"/>
          <w:kern w:val="0"/>
          <w:sz w:val="32"/>
          <w:szCs w:val="32"/>
          <w14:textFill>
            <w14:solidFill>
              <w14:schemeClr w14:val="tx1"/>
            </w14:solidFill>
          </w14:textFill>
        </w:rPr>
        <w:t>等特色农副产品精深加工新技术、新产品及装备的研究开发。</w:t>
      </w:r>
    </w:p>
    <w:p>
      <w:pPr>
        <w:pageBreakBefore w:val="0"/>
        <w:widowControl w:val="0"/>
        <w:kinsoku/>
        <w:wordWrap/>
        <w:overflowPunct/>
        <w:topLinePunct w:val="0"/>
        <w:bidi w:val="0"/>
        <w:adjustRightInd/>
        <w:snapToGrid/>
        <w:spacing w:line="540" w:lineRule="exact"/>
        <w:ind w:firstLine="640"/>
        <w:textAlignment w:val="auto"/>
        <w:rPr>
          <w:rFonts w:hint="default" w:ascii="Times New Roman" w:hAnsi="Times New Roman" w:eastAsia="黑体" w:cs="Times New Roman"/>
          <w:szCs w:val="32"/>
          <w:lang w:val="en-US" w:eastAsia="zh-CN"/>
        </w:rPr>
      </w:pPr>
      <w:r>
        <w:rPr>
          <w:rFonts w:hint="eastAsia" w:cs="Times New Roman"/>
          <w:b/>
          <w:color w:val="000000" w:themeColor="text1"/>
          <w:kern w:val="0"/>
          <w:sz w:val="32"/>
          <w:szCs w:val="32"/>
          <w:lang w:val="en-US" w:eastAsia="zh-CN"/>
          <w14:textFill>
            <w14:solidFill>
              <w14:schemeClr w14:val="tx1"/>
            </w14:solidFill>
          </w14:textFill>
        </w:rPr>
        <w:t>6</w:t>
      </w:r>
      <w:r>
        <w:rPr>
          <w:rFonts w:hint="default" w:ascii="Times New Roman" w:hAnsi="Times New Roman" w:cs="Times New Roman"/>
          <w:b/>
          <w:color w:val="000000" w:themeColor="text1"/>
          <w:kern w:val="0"/>
          <w:sz w:val="32"/>
          <w:szCs w:val="32"/>
          <w:lang w:val="en-US" w:eastAsia="zh-CN"/>
          <w14:textFill>
            <w14:solidFill>
              <w14:schemeClr w14:val="tx1"/>
            </w14:solidFill>
          </w14:textFill>
        </w:rPr>
        <w:t>.</w:t>
      </w:r>
      <w:r>
        <w:rPr>
          <w:rFonts w:hint="eastAsia" w:ascii="Times New Roman" w:hAnsi="Times New Roman" w:eastAsia="仿宋_GB2312" w:cs="Times New Roman"/>
          <w:b/>
          <w:color w:val="000000" w:themeColor="text1"/>
          <w:kern w:val="0"/>
          <w:sz w:val="32"/>
          <w:szCs w:val="32"/>
          <w:lang w:val="en-US" w:eastAsia="zh-CN"/>
          <w14:textFill>
            <w14:solidFill>
              <w14:schemeClr w14:val="tx1"/>
            </w14:solidFill>
          </w14:textFill>
        </w:rPr>
        <w:t>其他领域。</w:t>
      </w:r>
      <w:r>
        <w:rPr>
          <w:rFonts w:hint="eastAsia" w:ascii="仿宋_GB2312" w:hAnsi="仿宋_GB2312" w:cs="仿宋_GB2312"/>
          <w:color w:val="000000" w:themeColor="text1"/>
          <w:kern w:val="0"/>
          <w:sz w:val="32"/>
          <w:szCs w:val="32"/>
          <w:lang w:val="en-US" w:eastAsia="zh-CN"/>
          <w14:textFill>
            <w14:solidFill>
              <w14:schemeClr w14:val="tx1"/>
            </w14:solidFill>
          </w14:textFill>
        </w:rPr>
        <w:t>支持安全生产和防灾减灾救灾技术研究与应用，</w:t>
      </w:r>
      <w:r>
        <w:rPr>
          <w:rFonts w:hint="default" w:ascii="仿宋_GB2312" w:hAnsi="仿宋_GB2312" w:cs="仿宋_GB2312"/>
          <w:color w:val="000000" w:themeColor="text1"/>
          <w:kern w:val="0"/>
          <w:sz w:val="32"/>
          <w:szCs w:val="32"/>
          <w:lang w:val="en-US" w:eastAsia="zh-CN"/>
          <w14:textFill>
            <w14:solidFill>
              <w14:schemeClr w14:val="tx1"/>
            </w14:solidFill>
          </w14:textFill>
        </w:rPr>
        <w:t>支持食品安全风险评估、检测技术、溯源与预警技术</w:t>
      </w:r>
      <w:r>
        <w:rPr>
          <w:rFonts w:hint="eastAsia" w:ascii="仿宋_GB2312" w:hAnsi="仿宋_GB2312" w:cs="仿宋_GB2312"/>
          <w:color w:val="000000" w:themeColor="text1"/>
          <w:kern w:val="0"/>
          <w:sz w:val="32"/>
          <w:szCs w:val="32"/>
          <w:lang w:val="en-US" w:eastAsia="zh-CN"/>
          <w14:textFill>
            <w14:solidFill>
              <w14:schemeClr w14:val="tx1"/>
            </w14:solidFill>
          </w14:textFill>
        </w:rPr>
        <w:t>研究与应用，以及其他公共安全技术研究与应用</w:t>
      </w:r>
      <w:r>
        <w:rPr>
          <w:rFonts w:hint="default" w:ascii="仿宋_GB2312" w:hAnsi="仿宋_GB2312" w:cs="仿宋_GB2312"/>
          <w:color w:val="000000" w:themeColor="text1"/>
          <w:kern w:val="0"/>
          <w:sz w:val="32"/>
          <w:szCs w:val="32"/>
          <w:lang w:val="en-US" w:eastAsia="zh-CN"/>
          <w14:textFill>
            <w14:solidFill>
              <w14:schemeClr w14:val="tx1"/>
            </w14:solidFill>
          </w14:textFill>
        </w:rPr>
        <w:t>。</w:t>
      </w:r>
    </w:p>
    <w:p>
      <w:pPr>
        <w:pageBreakBefore w:val="0"/>
        <w:kinsoku/>
        <w:wordWrap/>
        <w:overflowPunct/>
        <w:topLinePunct w:val="0"/>
        <w:bidi w:val="0"/>
        <w:spacing w:line="540" w:lineRule="exact"/>
        <w:ind w:firstLine="640"/>
        <w:textAlignment w:val="auto"/>
        <w:rPr>
          <w:rFonts w:hint="default" w:ascii="Times New Roman" w:hAnsi="Times New Roman" w:eastAsia="楷体_GB2312" w:cs="Times New Roman"/>
          <w:b/>
          <w:bCs/>
          <w:color w:val="auto"/>
          <w:szCs w:val="32"/>
        </w:rPr>
      </w:pPr>
      <w:r>
        <w:rPr>
          <w:rFonts w:hint="default" w:ascii="Times New Roman" w:hAnsi="Times New Roman" w:eastAsia="楷体_GB2312" w:cs="Times New Roman"/>
          <w:b/>
          <w:bCs/>
          <w:color w:val="auto"/>
          <w:szCs w:val="32"/>
        </w:rPr>
        <w:t>（三）社会发展领域</w:t>
      </w:r>
    </w:p>
    <w:p>
      <w:pPr>
        <w:pageBreakBefore w:val="0"/>
        <w:kinsoku/>
        <w:wordWrap/>
        <w:overflowPunct/>
        <w:topLinePunct w:val="0"/>
        <w:bidi w:val="0"/>
        <w:spacing w:line="540" w:lineRule="exact"/>
        <w:ind w:firstLine="64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支持</w:t>
      </w:r>
      <w:r>
        <w:rPr>
          <w:rFonts w:hint="eastAsia" w:cs="Times New Roman"/>
          <w:color w:val="auto"/>
          <w:szCs w:val="32"/>
          <w:lang w:val="en-US" w:eastAsia="zh-CN"/>
        </w:rPr>
        <w:t>落实</w:t>
      </w:r>
      <w:r>
        <w:rPr>
          <w:rFonts w:hint="default" w:ascii="Times New Roman" w:hAnsi="Times New Roman" w:cs="Times New Roman"/>
          <w:color w:val="auto"/>
          <w:szCs w:val="32"/>
        </w:rPr>
        <w:t>健康石城</w:t>
      </w:r>
      <w:r>
        <w:rPr>
          <w:rFonts w:hint="eastAsia" w:cs="Times New Roman"/>
          <w:color w:val="auto"/>
          <w:szCs w:val="32"/>
          <w:lang w:val="en-US" w:eastAsia="zh-CN"/>
        </w:rPr>
        <w:t>各项举措</w:t>
      </w:r>
      <w:r>
        <w:rPr>
          <w:rFonts w:hint="default" w:ascii="Times New Roman" w:hAnsi="Times New Roman" w:cs="Times New Roman"/>
          <w:color w:val="auto"/>
          <w:szCs w:val="32"/>
        </w:rPr>
        <w:t>，加强师市医联体改革及卫生健康事业发展相关技术进步。</w:t>
      </w:r>
    </w:p>
    <w:p>
      <w:pPr>
        <w:pageBreakBefore w:val="0"/>
        <w:widowControl w:val="0"/>
        <w:numPr>
          <w:ilvl w:val="0"/>
          <w:numId w:val="2"/>
        </w:numPr>
        <w:kinsoku/>
        <w:wordWrap/>
        <w:overflowPunct/>
        <w:topLinePunct w:val="0"/>
        <w:bidi w:val="0"/>
        <w:adjustRightInd/>
        <w:snapToGrid/>
        <w:spacing w:line="540" w:lineRule="exact"/>
        <w:ind w:firstLine="640"/>
        <w:jc w:val="both"/>
        <w:textAlignment w:val="auto"/>
        <w:rPr>
          <w:rFonts w:hint="default" w:ascii="Times New Roman" w:hAnsi="Times New Roman" w:cs="Times New Roman"/>
          <w:color w:val="auto"/>
          <w:szCs w:val="32"/>
        </w:rPr>
      </w:pPr>
      <w:r>
        <w:rPr>
          <w:rFonts w:hint="default" w:ascii="Times New Roman" w:hAnsi="Times New Roman" w:cs="Times New Roman"/>
          <w:b/>
          <w:bCs/>
          <w:color w:val="auto"/>
          <w:szCs w:val="32"/>
        </w:rPr>
        <w:t>民生健康。</w:t>
      </w:r>
      <w:r>
        <w:rPr>
          <w:rFonts w:hint="default" w:ascii="Times New Roman" w:hAnsi="Times New Roman" w:cs="Times New Roman"/>
          <w:color w:val="auto"/>
          <w:szCs w:val="32"/>
        </w:rPr>
        <w:t>支持开展师市医共体服务技术集成与示范，重点支持脑卒中等疾病医疗服务</w:t>
      </w:r>
      <w:r>
        <w:rPr>
          <w:rFonts w:hint="eastAsia" w:cs="Times New Roman"/>
          <w:color w:val="auto"/>
          <w:szCs w:val="32"/>
          <w:lang w:val="en-US" w:eastAsia="zh-CN"/>
        </w:rPr>
        <w:t>技能系统化</w:t>
      </w:r>
      <w:r>
        <w:rPr>
          <w:rFonts w:hint="default" w:ascii="Times New Roman" w:hAnsi="Times New Roman" w:cs="Times New Roman"/>
          <w:color w:val="auto"/>
          <w:szCs w:val="32"/>
        </w:rPr>
        <w:t>提升，传染病（人畜共患病</w:t>
      </w:r>
      <w:r>
        <w:rPr>
          <w:rFonts w:hint="eastAsia" w:cs="Times New Roman"/>
          <w:color w:val="auto"/>
          <w:szCs w:val="32"/>
          <w:lang w:val="en-US" w:eastAsia="zh-CN"/>
        </w:rPr>
        <w:t>、结核病</w:t>
      </w:r>
      <w:r>
        <w:rPr>
          <w:rFonts w:hint="default" w:ascii="Times New Roman" w:hAnsi="Times New Roman" w:cs="Times New Roman"/>
          <w:color w:val="auto"/>
          <w:szCs w:val="32"/>
        </w:rPr>
        <w:t>等）、慢性病、地方病</w:t>
      </w:r>
      <w:r>
        <w:rPr>
          <w:rFonts w:hint="eastAsia" w:cs="Times New Roman"/>
          <w:color w:val="auto"/>
          <w:szCs w:val="32"/>
          <w:lang w:eastAsia="zh-CN"/>
        </w:rPr>
        <w:t>、</w:t>
      </w:r>
      <w:r>
        <w:rPr>
          <w:rFonts w:hint="eastAsia" w:cs="Times New Roman"/>
          <w:color w:val="auto"/>
          <w:szCs w:val="32"/>
          <w:lang w:val="en-US" w:eastAsia="zh-CN"/>
        </w:rPr>
        <w:t>职业病</w:t>
      </w:r>
      <w:r>
        <w:rPr>
          <w:rFonts w:hint="default" w:ascii="Times New Roman" w:hAnsi="Times New Roman" w:cs="Times New Roman"/>
          <w:color w:val="auto"/>
          <w:szCs w:val="32"/>
        </w:rPr>
        <w:t>等综合防治防控新技术</w:t>
      </w:r>
      <w:r>
        <w:rPr>
          <w:rFonts w:hint="default" w:ascii="Times New Roman" w:hAnsi="Times New Roman" w:cs="Times New Roman"/>
          <w:b w:val="0"/>
          <w:bCs w:val="0"/>
          <w:color w:val="auto"/>
          <w:sz w:val="32"/>
          <w:szCs w:val="32"/>
        </w:rPr>
        <w:t>新</w:t>
      </w:r>
      <w:r>
        <w:rPr>
          <w:rFonts w:hint="default" w:ascii="Times New Roman" w:hAnsi="Times New Roman" w:cs="Times New Roman"/>
          <w:b w:val="0"/>
          <w:bCs w:val="0"/>
          <w:color w:val="auto"/>
          <w:sz w:val="32"/>
          <w:szCs w:val="32"/>
          <w:lang w:val="en-US" w:eastAsia="zh-CN"/>
        </w:rPr>
        <w:t>方法及其干预措施的</w:t>
      </w:r>
      <w:r>
        <w:rPr>
          <w:rFonts w:hint="default" w:ascii="Times New Roman" w:hAnsi="Times New Roman" w:cs="Times New Roman"/>
          <w:b w:val="0"/>
          <w:bCs w:val="0"/>
          <w:color w:val="auto"/>
          <w:sz w:val="32"/>
          <w:szCs w:val="32"/>
        </w:rPr>
        <w:t>应用</w:t>
      </w:r>
      <w:r>
        <w:rPr>
          <w:rFonts w:hint="eastAsia" w:cs="Times New Roman"/>
          <w:b w:val="0"/>
          <w:bCs w:val="0"/>
          <w:color w:val="auto"/>
          <w:sz w:val="32"/>
          <w:szCs w:val="32"/>
          <w:lang w:val="en-US" w:eastAsia="zh-CN"/>
        </w:rPr>
        <w:t>；</w:t>
      </w:r>
      <w:r>
        <w:rPr>
          <w:rFonts w:hint="default" w:ascii="Times New Roman" w:hAnsi="Times New Roman" w:cs="Times New Roman"/>
          <w:color w:val="auto"/>
          <w:szCs w:val="32"/>
        </w:rPr>
        <w:t>支持高灵敏肿瘤</w:t>
      </w:r>
      <w:r>
        <w:rPr>
          <w:rFonts w:hint="eastAsia" w:cs="Times New Roman"/>
          <w:color w:val="auto"/>
          <w:szCs w:val="32"/>
          <w:lang w:val="en-US" w:eastAsia="zh-CN"/>
        </w:rPr>
        <w:t>及</w:t>
      </w:r>
      <w:r>
        <w:rPr>
          <w:rFonts w:hint="default" w:ascii="Times New Roman" w:hAnsi="Times New Roman" w:cs="Times New Roman"/>
          <w:color w:val="auto"/>
          <w:szCs w:val="32"/>
        </w:rPr>
        <w:t>传染疾病分子检测平台技术开发</w:t>
      </w:r>
      <w:r>
        <w:rPr>
          <w:rFonts w:hint="eastAsia" w:cs="Times New Roman"/>
          <w:color w:val="auto"/>
          <w:szCs w:val="32"/>
          <w:lang w:eastAsia="zh-CN"/>
        </w:rPr>
        <w:t>、</w:t>
      </w:r>
      <w:r>
        <w:rPr>
          <w:rFonts w:hint="eastAsia" w:cs="Times New Roman"/>
          <w:color w:val="auto"/>
          <w:szCs w:val="32"/>
          <w:lang w:val="en-US" w:eastAsia="zh-CN"/>
        </w:rPr>
        <w:t>神经退行性疾病等高性能抗原抗体研发、甲状腺功能减退多肽组学早筛、子宫内膜移位基因调控、代谢综合征与心力衰竭相关性研究，鼓励开展人工智能骨科、影像等领域辅助诊疗技术试验及示范应用</w:t>
      </w:r>
      <w:r>
        <w:rPr>
          <w:rFonts w:hint="default" w:ascii="Times New Roman" w:hAnsi="Times New Roman" w:cs="Times New Roman"/>
          <w:color w:val="auto"/>
          <w:szCs w:val="32"/>
        </w:rPr>
        <w:t>。</w:t>
      </w:r>
    </w:p>
    <w:p>
      <w:pPr>
        <w:pageBreakBefore w:val="0"/>
        <w:widowControl w:val="0"/>
        <w:numPr>
          <w:ilvl w:val="0"/>
          <w:numId w:val="2"/>
        </w:numPr>
        <w:kinsoku/>
        <w:wordWrap/>
        <w:overflowPunct/>
        <w:topLinePunct w:val="0"/>
        <w:bidi w:val="0"/>
        <w:adjustRightInd/>
        <w:snapToGrid/>
        <w:spacing w:line="540" w:lineRule="exact"/>
        <w:ind w:firstLine="640"/>
        <w:jc w:val="both"/>
        <w:textAlignment w:val="auto"/>
        <w:rPr>
          <w:rFonts w:hint="default" w:cs="Times New Roman"/>
          <w:color w:val="auto"/>
          <w:szCs w:val="32"/>
          <w:lang w:val="en-US" w:eastAsia="zh-CN"/>
        </w:rPr>
      </w:pPr>
      <w:r>
        <w:rPr>
          <w:rFonts w:hint="default" w:ascii="Times New Roman" w:hAnsi="Times New Roman" w:cs="Times New Roman"/>
          <w:b/>
          <w:bCs/>
          <w:color w:val="auto"/>
          <w:szCs w:val="32"/>
        </w:rPr>
        <w:t>团场环境治理与生产环境优化改善。</w:t>
      </w:r>
      <w:r>
        <w:rPr>
          <w:rFonts w:hint="eastAsia" w:ascii="Times New Roman" w:hAnsi="Times New Roman" w:cs="Times New Roman"/>
          <w:color w:val="auto"/>
          <w:szCs w:val="32"/>
          <w:lang w:val="en-US" w:eastAsia="zh-CN"/>
        </w:rPr>
        <w:t>支持</w:t>
      </w:r>
      <w:r>
        <w:rPr>
          <w:rFonts w:hint="default" w:ascii="Times New Roman" w:hAnsi="Times New Roman" w:cs="Times New Roman"/>
          <w:color w:val="auto"/>
          <w:szCs w:val="32"/>
        </w:rPr>
        <w:t>团场连队开展环境综合治理“厕所革命”相关技术及成果示范推广，</w:t>
      </w:r>
      <w:r>
        <w:rPr>
          <w:rFonts w:hint="eastAsia" w:cs="Times New Roman"/>
          <w:color w:val="auto"/>
          <w:szCs w:val="32"/>
          <w:lang w:val="en-US" w:eastAsia="zh-CN"/>
        </w:rPr>
        <w:t>城乡融合发展绿化美化等技术集成应用等</w:t>
      </w:r>
      <w:r>
        <w:rPr>
          <w:rFonts w:hint="default" w:cs="Times New Roman"/>
          <w:color w:val="auto"/>
          <w:szCs w:val="32"/>
          <w:lang w:val="en-US" w:eastAsia="zh-CN"/>
        </w:rPr>
        <w:t>。</w:t>
      </w:r>
    </w:p>
    <w:p>
      <w:pPr>
        <w:pageBreakBefore w:val="0"/>
        <w:widowControl w:val="0"/>
        <w:numPr>
          <w:ilvl w:val="0"/>
          <w:numId w:val="2"/>
        </w:numPr>
        <w:kinsoku/>
        <w:wordWrap/>
        <w:overflowPunct/>
        <w:topLinePunct w:val="0"/>
        <w:bidi w:val="0"/>
        <w:adjustRightInd/>
        <w:snapToGrid/>
        <w:spacing w:line="540" w:lineRule="exact"/>
        <w:ind w:firstLine="640"/>
        <w:jc w:val="both"/>
        <w:textAlignment w:val="auto"/>
        <w:rPr>
          <w:rFonts w:hint="default" w:ascii="Times New Roman" w:hAnsi="Times New Roman" w:cs="Times New Roman"/>
          <w:color w:val="auto"/>
          <w:szCs w:val="32"/>
        </w:rPr>
      </w:pPr>
      <w:r>
        <w:rPr>
          <w:rFonts w:hint="default" w:ascii="Times New Roman" w:hAnsi="Times New Roman" w:cs="Times New Roman"/>
          <w:b/>
          <w:bCs/>
          <w:color w:val="auto"/>
          <w:szCs w:val="32"/>
        </w:rPr>
        <w:t>城镇污染防治。</w:t>
      </w:r>
      <w:r>
        <w:rPr>
          <w:rFonts w:hint="default" w:ascii="Times New Roman" w:hAnsi="Times New Roman" w:cs="Times New Roman"/>
          <w:color w:val="auto"/>
          <w:szCs w:val="32"/>
        </w:rPr>
        <w:t>针对“蓝天碧水净土”方面突出问题，支持区域性大气、水体、土壤等检测评估、综合治理与修复、再生利用、安全保障技术开发及应用，</w:t>
      </w:r>
      <w:r>
        <w:rPr>
          <w:rFonts w:hint="eastAsia" w:cs="Times New Roman"/>
          <w:color w:val="auto"/>
          <w:szCs w:val="32"/>
          <w:lang w:val="en-US" w:eastAsia="zh-CN"/>
        </w:rPr>
        <w:t>推动城市周边水库</w:t>
      </w:r>
      <w:r>
        <w:rPr>
          <w:rFonts w:hint="default" w:ascii="Times New Roman" w:hAnsi="Times New Roman" w:cs="Times New Roman"/>
          <w:color w:val="auto"/>
          <w:szCs w:val="32"/>
        </w:rPr>
        <w:t>污染管控和修复</w:t>
      </w:r>
      <w:r>
        <w:rPr>
          <w:rFonts w:hint="eastAsia" w:cs="Times New Roman"/>
          <w:color w:val="auto"/>
          <w:szCs w:val="32"/>
          <w:lang w:val="en-US" w:eastAsia="zh-CN"/>
        </w:rPr>
        <w:t>治理</w:t>
      </w:r>
      <w:r>
        <w:rPr>
          <w:rFonts w:hint="default" w:ascii="Times New Roman" w:hAnsi="Times New Roman" w:cs="Times New Roman"/>
          <w:color w:val="auto"/>
          <w:szCs w:val="32"/>
        </w:rPr>
        <w:t>等技术开发与应用。</w:t>
      </w:r>
    </w:p>
    <w:p>
      <w:pPr>
        <w:pageBreakBefore w:val="0"/>
        <w:kinsoku/>
        <w:wordWrap/>
        <w:overflowPunct/>
        <w:topLinePunct w:val="0"/>
        <w:bidi w:val="0"/>
        <w:spacing w:line="540" w:lineRule="exact"/>
        <w:ind w:firstLine="640"/>
        <w:textAlignment w:val="auto"/>
        <w:rPr>
          <w:rFonts w:hint="eastAsia" w:ascii="Times New Roman" w:hAnsi="Times New Roman" w:eastAsia="楷体_GB2312" w:cs="Times New Roman"/>
          <w:b/>
          <w:bCs/>
          <w:color w:val="auto"/>
          <w:szCs w:val="32"/>
          <w:lang w:val="en-US" w:eastAsia="zh-CN"/>
        </w:rPr>
      </w:pPr>
      <w:r>
        <w:rPr>
          <w:rFonts w:hint="eastAsia" w:eastAsia="楷体_GB2312" w:cs="Times New Roman"/>
          <w:b/>
          <w:bCs/>
          <w:color w:val="auto"/>
          <w:szCs w:val="32"/>
          <w:lang w:val="en-US" w:eastAsia="zh-CN"/>
        </w:rPr>
        <w:t>（四）</w:t>
      </w:r>
      <w:r>
        <w:rPr>
          <w:rFonts w:hint="eastAsia" w:ascii="Times New Roman" w:hAnsi="Times New Roman" w:eastAsia="楷体_GB2312" w:cs="Times New Roman"/>
          <w:b/>
          <w:bCs/>
          <w:color w:val="auto"/>
          <w:szCs w:val="32"/>
          <w:lang w:val="en-US" w:eastAsia="zh-CN"/>
        </w:rPr>
        <w:t>应用基础研究</w:t>
      </w:r>
    </w:p>
    <w:p>
      <w:pPr>
        <w:pageBreakBefore w:val="0"/>
        <w:widowControl w:val="0"/>
        <w:numPr>
          <w:ilvl w:val="0"/>
          <w:numId w:val="0"/>
        </w:numPr>
        <w:kinsoku/>
        <w:wordWrap/>
        <w:overflowPunct/>
        <w:topLinePunct w:val="0"/>
        <w:bidi w:val="0"/>
        <w:adjustRightInd/>
        <w:snapToGrid/>
        <w:spacing w:line="540" w:lineRule="exact"/>
        <w:ind w:left="0" w:leftChars="0" w:firstLine="640" w:firstLineChars="200"/>
        <w:jc w:val="both"/>
        <w:textAlignment w:val="auto"/>
        <w:rPr>
          <w:rFonts w:hint="eastAsia" w:cs="Times New Roman"/>
          <w:color w:val="auto"/>
          <w:szCs w:val="32"/>
          <w:lang w:val="en-US" w:eastAsia="zh-CN"/>
        </w:rPr>
      </w:pPr>
      <w:r>
        <w:rPr>
          <w:rFonts w:hint="eastAsia" w:ascii="Times New Roman" w:hAnsi="Times New Roman" w:cs="Times New Roman"/>
          <w:color w:val="auto"/>
          <w:szCs w:val="32"/>
          <w:lang w:val="en-US" w:eastAsia="zh-CN"/>
        </w:rPr>
        <w:t>根据“兵团基础研究行动方案（2022-2030年）”</w:t>
      </w:r>
      <w:r>
        <w:rPr>
          <w:rFonts w:hint="eastAsia" w:cs="Times New Roman"/>
          <w:color w:val="auto"/>
          <w:szCs w:val="32"/>
          <w:lang w:val="en-US" w:eastAsia="zh-CN"/>
        </w:rPr>
        <w:t>有关要求，支持立足师市优势产业及科技资源、强化目标导向、跨学科跨领域的农社领域基础科学研究，重点支持现代农业、生物育种、资源环境等领域，发挥企业与科研院所合作优势，促进基础研究、应用研究和技术创新融通发展，推进产学研有机结合。</w:t>
      </w:r>
    </w:p>
    <w:p>
      <w:pPr>
        <w:pageBreakBefore w:val="0"/>
        <w:widowControl w:val="0"/>
        <w:kinsoku/>
        <w:wordWrap/>
        <w:overflowPunct/>
        <w:topLinePunct w:val="0"/>
        <w:bidi w:val="0"/>
        <w:adjustRightInd/>
        <w:snapToGrid/>
        <w:spacing w:line="540" w:lineRule="exact"/>
        <w:ind w:firstLine="640"/>
        <w:textAlignment w:val="auto"/>
        <w:rPr>
          <w:rFonts w:hint="default" w:ascii="Times New Roman" w:hAnsi="Times New Roman" w:eastAsia="黑体" w:cs="Times New Roman"/>
          <w:szCs w:val="32"/>
        </w:rPr>
      </w:pPr>
      <w:r>
        <w:rPr>
          <w:rFonts w:hint="default" w:ascii="Times New Roman" w:hAnsi="Times New Roman" w:eastAsia="黑体" w:cs="Times New Roman"/>
          <w:szCs w:val="32"/>
        </w:rPr>
        <w:t>二、申报要求</w:t>
      </w:r>
    </w:p>
    <w:p>
      <w:pPr>
        <w:pageBreakBefore w:val="0"/>
        <w:widowControl w:val="0"/>
        <w:kinsoku/>
        <w:wordWrap/>
        <w:overflowPunct/>
        <w:topLinePunct w:val="0"/>
        <w:bidi w:val="0"/>
        <w:adjustRightInd/>
        <w:snapToGrid/>
        <w:spacing w:line="540" w:lineRule="exact"/>
        <w:ind w:firstLine="64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1. 具有法人资格并具备科研开发能力和条件的企事业单位均可牵头申报，申报项目需要有较强的科研团队作支撑，鼓励</w:t>
      </w:r>
      <w:r>
        <w:rPr>
          <w:rFonts w:hint="eastAsia" w:cs="Times New Roman"/>
          <w:color w:val="auto"/>
          <w:szCs w:val="32"/>
          <w:lang w:val="en-US" w:eastAsia="zh-CN"/>
        </w:rPr>
        <w:t>师市单位联合石河子大学、新疆农垦科学院等驻石院校合作申报或组建</w:t>
      </w:r>
      <w:r>
        <w:rPr>
          <w:rFonts w:hint="default" w:ascii="Times New Roman" w:hAnsi="Times New Roman" w:cs="Times New Roman"/>
          <w:color w:val="auto"/>
          <w:szCs w:val="32"/>
        </w:rPr>
        <w:t>兵团内外优势科研团队联合申报。</w:t>
      </w:r>
    </w:p>
    <w:p>
      <w:pPr>
        <w:pageBreakBefore w:val="0"/>
        <w:widowControl w:val="0"/>
        <w:kinsoku/>
        <w:wordWrap/>
        <w:overflowPunct/>
        <w:topLinePunct w:val="0"/>
        <w:bidi w:val="0"/>
        <w:adjustRightInd/>
        <w:snapToGrid/>
        <w:spacing w:line="540" w:lineRule="exact"/>
        <w:ind w:firstLine="64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2. 项目优先支持高新技术企业、科技型中小企业、产业技术创新战略联盟、创新型企业等围绕产业发展和技术进步开展科技攻关；对</w:t>
      </w:r>
      <w:r>
        <w:rPr>
          <w:rFonts w:hint="eastAsia" w:cs="Times New Roman"/>
          <w:color w:val="auto"/>
          <w:szCs w:val="32"/>
          <w:lang w:val="en-US" w:eastAsia="zh-CN"/>
        </w:rPr>
        <w:t>高新区</w:t>
      </w:r>
      <w:r>
        <w:rPr>
          <w:rFonts w:hint="default" w:ascii="Times New Roman" w:hAnsi="Times New Roman" w:cs="Times New Roman"/>
          <w:color w:val="auto"/>
          <w:szCs w:val="32"/>
        </w:rPr>
        <w:t>、农业科技园区等建设地推荐申报项目予以</w:t>
      </w:r>
      <w:r>
        <w:rPr>
          <w:rFonts w:hint="eastAsia" w:cs="Times New Roman"/>
          <w:color w:val="auto"/>
          <w:szCs w:val="32"/>
          <w:lang w:val="en-US" w:eastAsia="zh-CN"/>
        </w:rPr>
        <w:t>优先考虑</w:t>
      </w:r>
      <w:r>
        <w:rPr>
          <w:rFonts w:hint="default" w:ascii="Times New Roman" w:hAnsi="Times New Roman" w:cs="Times New Roman"/>
          <w:color w:val="auto"/>
          <w:szCs w:val="32"/>
        </w:rPr>
        <w:t>。</w:t>
      </w:r>
    </w:p>
    <w:p>
      <w:pPr>
        <w:pageBreakBefore w:val="0"/>
        <w:widowControl w:val="0"/>
        <w:kinsoku/>
        <w:wordWrap/>
        <w:overflowPunct/>
        <w:topLinePunct w:val="0"/>
        <w:bidi w:val="0"/>
        <w:adjustRightInd/>
        <w:snapToGrid/>
        <w:spacing w:line="540" w:lineRule="exact"/>
        <w:ind w:firstLine="64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3. 鼓励创新（含引进消化再创新）、应用试验示范、推广及产业化链路相关单位及机构组团申报。</w:t>
      </w:r>
    </w:p>
    <w:p>
      <w:pPr>
        <w:pageBreakBefore w:val="0"/>
        <w:widowControl w:val="0"/>
        <w:kinsoku/>
        <w:wordWrap/>
        <w:overflowPunct/>
        <w:topLinePunct w:val="0"/>
        <w:bidi w:val="0"/>
        <w:adjustRightInd/>
        <w:snapToGrid/>
        <w:spacing w:line="540" w:lineRule="exact"/>
        <w:ind w:firstLine="64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4. 项目实施期限原则上不超过3年。</w:t>
      </w:r>
    </w:p>
    <w:p>
      <w:pPr>
        <w:pageBreakBefore w:val="0"/>
        <w:widowControl w:val="0"/>
        <w:kinsoku/>
        <w:wordWrap/>
        <w:overflowPunct/>
        <w:topLinePunct w:val="0"/>
        <w:bidi w:val="0"/>
        <w:adjustRightInd/>
        <w:snapToGrid/>
        <w:spacing w:line="540" w:lineRule="exact"/>
        <w:ind w:firstLine="64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5. 严格项目预算管理，编制详细预算说明。一般每个项目申请师市财政资金额度不超过</w:t>
      </w:r>
      <w:r>
        <w:rPr>
          <w:rFonts w:hint="eastAsia" w:cs="Times New Roman"/>
          <w:color w:val="auto"/>
          <w:szCs w:val="32"/>
          <w:lang w:val="en-US" w:eastAsia="zh-CN"/>
        </w:rPr>
        <w:t>60</w:t>
      </w:r>
      <w:r>
        <w:rPr>
          <w:rFonts w:hint="default" w:ascii="Times New Roman" w:hAnsi="Times New Roman" w:cs="Times New Roman"/>
          <w:color w:val="auto"/>
          <w:szCs w:val="32"/>
        </w:rPr>
        <w:t>万元</w:t>
      </w:r>
      <w:r>
        <w:rPr>
          <w:rFonts w:hint="eastAsia" w:cs="Times New Roman"/>
          <w:color w:val="auto"/>
          <w:szCs w:val="32"/>
          <w:lang w:eastAsia="zh-CN"/>
        </w:rPr>
        <w:t>（</w:t>
      </w:r>
      <w:r>
        <w:rPr>
          <w:rFonts w:hint="eastAsia" w:cs="Times New Roman"/>
          <w:color w:val="auto"/>
          <w:szCs w:val="32"/>
          <w:lang w:val="en-US" w:eastAsia="zh-CN"/>
        </w:rPr>
        <w:t>医疗卫生类不超过10万元）</w:t>
      </w:r>
      <w:r>
        <w:rPr>
          <w:rFonts w:hint="default" w:ascii="Times New Roman" w:hAnsi="Times New Roman" w:cs="Times New Roman"/>
          <w:color w:val="auto"/>
          <w:szCs w:val="32"/>
        </w:rPr>
        <w:t>。</w:t>
      </w:r>
      <w:bookmarkStart w:id="0" w:name="_GoBack"/>
      <w:bookmarkEnd w:id="0"/>
    </w:p>
    <w:p>
      <w:pPr>
        <w:pageBreakBefore w:val="0"/>
        <w:widowControl w:val="0"/>
        <w:kinsoku/>
        <w:wordWrap/>
        <w:overflowPunct/>
        <w:topLinePunct w:val="0"/>
        <w:bidi w:val="0"/>
        <w:adjustRightInd/>
        <w:snapToGrid/>
        <w:spacing w:line="540" w:lineRule="exact"/>
        <w:ind w:firstLine="640"/>
        <w:textAlignment w:val="auto"/>
        <w:rPr>
          <w:rFonts w:hint="default" w:ascii="Times New Roman" w:hAnsi="Times New Roman" w:cs="Times New Roman"/>
          <w:color w:val="auto"/>
          <w:szCs w:val="32"/>
        </w:rPr>
      </w:pPr>
      <w:r>
        <w:rPr>
          <w:rFonts w:hint="default" w:ascii="Times New Roman" w:hAnsi="Times New Roman" w:cs="Times New Roman"/>
          <w:color w:val="auto"/>
          <w:szCs w:val="32"/>
        </w:rPr>
        <w:t>6. 申报项目需提交半年以内的查新报告及其他相关附件证明材料，详见申报书要求。</w:t>
      </w:r>
    </w:p>
    <w:p>
      <w:pPr>
        <w:pageBreakBefore w:val="0"/>
        <w:widowControl w:val="0"/>
        <w:kinsoku/>
        <w:wordWrap/>
        <w:overflowPunct/>
        <w:topLinePunct w:val="0"/>
        <w:bidi w:val="0"/>
        <w:adjustRightInd/>
        <w:snapToGrid/>
        <w:spacing w:line="540" w:lineRule="exact"/>
        <w:ind w:firstLine="640"/>
        <w:textAlignment w:val="auto"/>
        <w:rPr>
          <w:rFonts w:hint="default" w:ascii="Times New Roman" w:hAnsi="Times New Roman" w:eastAsia="方正小标宋_GBK" w:cs="Times New Roman"/>
          <w:color w:val="000000"/>
          <w:szCs w:val="32"/>
        </w:rPr>
      </w:pPr>
      <w:r>
        <w:rPr>
          <w:rFonts w:hint="default" w:ascii="Times New Roman" w:hAnsi="Times New Roman" w:eastAsia="黑体" w:cs="Times New Roman"/>
          <w:color w:val="000000"/>
          <w:szCs w:val="32"/>
        </w:rPr>
        <w:t>三、联系方式</w:t>
      </w:r>
    </w:p>
    <w:p>
      <w:pPr>
        <w:pStyle w:val="7"/>
        <w:pageBreakBefore w:val="0"/>
        <w:widowControl w:val="0"/>
        <w:kinsoku/>
        <w:wordWrap/>
        <w:overflowPunct/>
        <w:topLinePunct w:val="0"/>
        <w:bidi w:val="0"/>
        <w:adjustRightInd/>
        <w:snapToGrid/>
        <w:spacing w:line="540" w:lineRule="exact"/>
        <w:ind w:firstLine="640"/>
        <w:textAlignment w:val="auto"/>
        <w:rPr>
          <w:rFonts w:hint="default" w:ascii="Times New Roman" w:hAnsi="Times New Roman" w:cs="Times New Roman"/>
          <w:b/>
          <w:bCs/>
          <w:color w:val="000000"/>
          <w:sz w:val="32"/>
          <w:szCs w:val="32"/>
        </w:rPr>
      </w:pPr>
      <w:r>
        <w:rPr>
          <w:rFonts w:hint="default" w:ascii="Times New Roman" w:hAnsi="Times New Roman" w:cs="Times New Roman"/>
          <w:b/>
          <w:bCs/>
          <w:color w:val="000000"/>
          <w:sz w:val="32"/>
          <w:szCs w:val="32"/>
        </w:rPr>
        <w:t>农业与社会发展领域：</w:t>
      </w:r>
    </w:p>
    <w:p>
      <w:pPr>
        <w:pStyle w:val="7"/>
        <w:pageBreakBefore w:val="0"/>
        <w:widowControl w:val="0"/>
        <w:kinsoku/>
        <w:wordWrap/>
        <w:overflowPunct/>
        <w:topLinePunct w:val="0"/>
        <w:bidi w:val="0"/>
        <w:adjustRightInd/>
        <w:snapToGrid/>
        <w:spacing w:line="540" w:lineRule="exact"/>
        <w:ind w:firstLine="640"/>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cs="Times New Roman"/>
          <w:color w:val="000000"/>
          <w:sz w:val="32"/>
          <w:szCs w:val="32"/>
        </w:rPr>
        <w:t xml:space="preserve">联 系 人：鲍健 2013261   </w:t>
      </w:r>
      <w:r>
        <w:rPr>
          <w:rFonts w:hint="default" w:ascii="Times New Roman" w:hAnsi="Times New Roman" w:cs="Times New Roman"/>
          <w:color w:val="000000"/>
          <w:sz w:val="32"/>
          <w:szCs w:val="32"/>
          <w:lang w:val="en-US" w:eastAsia="zh-CN"/>
        </w:rPr>
        <w:t>郭新堂</w:t>
      </w:r>
      <w:r>
        <w:rPr>
          <w:rFonts w:hint="default" w:ascii="Times New Roman" w:hAnsi="Times New Roman" w:cs="Times New Roman"/>
          <w:color w:val="000000"/>
          <w:sz w:val="32"/>
          <w:szCs w:val="32"/>
        </w:rPr>
        <w:t xml:space="preserve"> 206926</w:t>
      </w:r>
      <w:r>
        <w:rPr>
          <w:rFonts w:hint="default" w:ascii="Times New Roman" w:hAnsi="Times New Roman" w:cs="Times New Roman"/>
          <w:color w:val="000000"/>
          <w:sz w:val="32"/>
          <w:szCs w:val="32"/>
          <w:lang w:val="en-US" w:eastAsia="zh-CN"/>
        </w:rPr>
        <w:t>0  王欣雨 2069256</w:t>
      </w:r>
    </w:p>
    <w:p>
      <w:pPr>
        <w:pageBreakBefore w:val="0"/>
        <w:widowControl w:val="0"/>
        <w:kinsoku/>
        <w:wordWrap/>
        <w:overflowPunct/>
        <w:topLinePunct w:val="0"/>
        <w:bidi w:val="0"/>
        <w:adjustRightInd/>
        <w:snapToGrid/>
        <w:spacing w:line="540" w:lineRule="exact"/>
        <w:ind w:firstLine="640"/>
        <w:textAlignment w:val="auto"/>
        <w:rPr>
          <w:rFonts w:hint="default" w:ascii="Times New Roman" w:hAnsi="Times New Roman" w:cs="Times New Roman"/>
          <w:color w:val="000000"/>
          <w:szCs w:val="32"/>
        </w:rPr>
      </w:pPr>
      <w:r>
        <w:rPr>
          <w:rFonts w:hint="default" w:ascii="Times New Roman" w:hAnsi="Times New Roman" w:cs="Times New Roman"/>
          <w:color w:val="000000"/>
          <w:szCs w:val="32"/>
        </w:rPr>
        <w:t>电子邮箱：</w:t>
      </w:r>
      <w:r>
        <w:rPr>
          <w:rFonts w:hint="default" w:ascii="Times New Roman" w:hAnsi="Times New Roman" w:cs="Times New Roman"/>
          <w:color w:val="000000"/>
          <w:szCs w:val="32"/>
          <w:lang w:val="en-US" w:eastAsia="zh-CN"/>
        </w:rPr>
        <w:t>bskjxm</w:t>
      </w:r>
      <w:r>
        <w:rPr>
          <w:rFonts w:hint="default" w:ascii="Times New Roman" w:hAnsi="Times New Roman" w:cs="Times New Roman"/>
          <w:color w:val="000000"/>
          <w:szCs w:val="32"/>
        </w:rPr>
        <w:t xml:space="preserve">@sina.com </w:t>
      </w:r>
    </w:p>
    <w:p>
      <w:pPr>
        <w:pageBreakBefore w:val="0"/>
        <w:kinsoku/>
        <w:wordWrap/>
        <w:overflowPunct/>
        <w:topLinePunct w:val="0"/>
        <w:bidi w:val="0"/>
        <w:spacing w:line="540" w:lineRule="exact"/>
        <w:ind w:firstLine="640"/>
        <w:textAlignment w:val="auto"/>
        <w:rPr>
          <w:rFonts w:hint="default" w:ascii="Times New Roman" w:hAnsi="Times New Roman" w:cs="Times New Roman"/>
          <w:b/>
          <w:bCs/>
          <w:color w:val="000000"/>
          <w:szCs w:val="32"/>
        </w:rPr>
      </w:pPr>
      <w:r>
        <w:rPr>
          <w:rFonts w:hint="default" w:ascii="Times New Roman" w:hAnsi="Times New Roman" w:cs="Times New Roman"/>
          <w:b/>
          <w:bCs/>
          <w:color w:val="000000"/>
          <w:szCs w:val="32"/>
        </w:rPr>
        <w:t>高新技术领域：</w:t>
      </w:r>
    </w:p>
    <w:p>
      <w:pPr>
        <w:pageBreakBefore w:val="0"/>
        <w:kinsoku/>
        <w:wordWrap/>
        <w:overflowPunct/>
        <w:topLinePunct w:val="0"/>
        <w:bidi w:val="0"/>
        <w:spacing w:line="540" w:lineRule="exact"/>
        <w:ind w:firstLine="640"/>
        <w:textAlignment w:val="auto"/>
        <w:rPr>
          <w:rFonts w:hint="default" w:ascii="Times New Roman" w:hAnsi="Times New Roman" w:cs="Times New Roman"/>
          <w:color w:val="000000"/>
          <w:szCs w:val="32"/>
          <w:lang w:val="en-US"/>
        </w:rPr>
      </w:pPr>
      <w:r>
        <w:rPr>
          <w:rFonts w:hint="default" w:ascii="Times New Roman" w:hAnsi="Times New Roman" w:cs="Times New Roman"/>
          <w:color w:val="000000"/>
          <w:szCs w:val="32"/>
        </w:rPr>
        <w:t>联</w:t>
      </w:r>
      <w:r>
        <w:rPr>
          <w:rFonts w:hint="eastAsia" w:cs="Times New Roman"/>
          <w:color w:val="000000"/>
          <w:szCs w:val="32"/>
          <w:lang w:val="en-US" w:eastAsia="zh-CN"/>
        </w:rPr>
        <w:t xml:space="preserve"> </w:t>
      </w:r>
      <w:r>
        <w:rPr>
          <w:rFonts w:hint="default" w:ascii="Times New Roman" w:hAnsi="Times New Roman" w:cs="Times New Roman"/>
          <w:color w:val="000000"/>
          <w:szCs w:val="32"/>
        </w:rPr>
        <w:t>系</w:t>
      </w:r>
      <w:r>
        <w:rPr>
          <w:rFonts w:hint="eastAsia" w:cs="Times New Roman"/>
          <w:color w:val="000000"/>
          <w:szCs w:val="32"/>
          <w:lang w:val="en-US" w:eastAsia="zh-CN"/>
        </w:rPr>
        <w:t xml:space="preserve"> </w:t>
      </w:r>
      <w:r>
        <w:rPr>
          <w:rFonts w:hint="default" w:ascii="Times New Roman" w:hAnsi="Times New Roman" w:cs="Times New Roman"/>
          <w:color w:val="000000"/>
          <w:szCs w:val="32"/>
        </w:rPr>
        <w:t>人：</w:t>
      </w:r>
      <w:r>
        <w:rPr>
          <w:rFonts w:hint="eastAsia" w:cs="Times New Roman"/>
          <w:color w:val="000000"/>
          <w:szCs w:val="32"/>
          <w:lang w:val="en-US" w:eastAsia="zh-CN"/>
        </w:rPr>
        <w:t xml:space="preserve">杨军 2069116   </w:t>
      </w:r>
      <w:r>
        <w:rPr>
          <w:rFonts w:hint="default" w:ascii="Times New Roman" w:hAnsi="Times New Roman" w:cs="Times New Roman"/>
          <w:color w:val="000000"/>
          <w:sz w:val="32"/>
          <w:szCs w:val="32"/>
          <w:lang w:val="en-US" w:eastAsia="zh-CN"/>
        </w:rPr>
        <w:t>何鸿斌</w:t>
      </w:r>
      <w:r>
        <w:rPr>
          <w:rFonts w:hint="default" w:ascii="Times New Roman" w:hAnsi="Times New Roman" w:cs="Times New Roman"/>
          <w:color w:val="000000"/>
          <w:sz w:val="32"/>
          <w:szCs w:val="32"/>
        </w:rPr>
        <w:t xml:space="preserve"> 2069</w:t>
      </w:r>
      <w:r>
        <w:rPr>
          <w:rFonts w:hint="default" w:ascii="Times New Roman" w:hAnsi="Times New Roman" w:cs="Times New Roman"/>
          <w:color w:val="000000"/>
          <w:sz w:val="32"/>
          <w:szCs w:val="32"/>
          <w:lang w:val="en-US" w:eastAsia="zh-CN"/>
        </w:rPr>
        <w:t>118</w:t>
      </w:r>
      <w:r>
        <w:rPr>
          <w:rFonts w:hint="eastAsia" w:cs="Times New Roman"/>
          <w:color w:val="000000"/>
          <w:sz w:val="32"/>
          <w:szCs w:val="32"/>
          <w:lang w:val="en-US" w:eastAsia="zh-CN"/>
        </w:rPr>
        <w:t xml:space="preserve">  张鑫2069528  王心仪 2015692</w:t>
      </w:r>
    </w:p>
    <w:p>
      <w:pPr>
        <w:pageBreakBefore w:val="0"/>
        <w:kinsoku/>
        <w:wordWrap/>
        <w:overflowPunct/>
        <w:topLinePunct w:val="0"/>
        <w:bidi w:val="0"/>
        <w:spacing w:line="540" w:lineRule="exact"/>
        <w:ind w:firstLine="640"/>
        <w:textAlignment w:val="auto"/>
        <w:rPr>
          <w:rFonts w:hint="default" w:ascii="Times New Roman" w:hAnsi="Times New Roman" w:cs="Times New Roman"/>
          <w:color w:val="000000"/>
          <w:szCs w:val="32"/>
        </w:rPr>
      </w:pPr>
      <w:r>
        <w:rPr>
          <w:rFonts w:hint="default" w:ascii="Times New Roman" w:hAnsi="Times New Roman" w:cs="Times New Roman"/>
          <w:color w:val="000000"/>
          <w:szCs w:val="32"/>
        </w:rPr>
        <w:t>电子邮箱：</w:t>
      </w:r>
      <w:r>
        <w:rPr>
          <w:rStyle w:val="17"/>
          <w:rFonts w:hint="default" w:ascii="Times New Roman" w:hAnsi="Times New Roman" w:cs="Times New Roman"/>
          <w:color w:val="000000" w:themeColor="text1"/>
          <w:sz w:val="32"/>
          <w:szCs w:val="32"/>
          <w:u w:val="none"/>
          <w:lang w:val="en-US" w:eastAsia="zh-CN"/>
          <w14:textFill>
            <w14:solidFill>
              <w14:schemeClr w14:val="tx1"/>
            </w14:solidFill>
          </w14:textFill>
        </w:rPr>
        <w:t>1849431889</w:t>
      </w:r>
      <w:r>
        <w:rPr>
          <w:rFonts w:hint="default" w:ascii="Times New Roman" w:hAnsi="Times New Roman" w:cs="Times New Roman"/>
          <w:color w:val="000000"/>
          <w:szCs w:val="32"/>
        </w:rPr>
        <w:t>@qq.com</w: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519" w:bottom="1440" w:left="1633" w:header="851" w:footer="992" w:gutter="0"/>
      <w:pgNumType w:fmt="numberInDash" w:start="1"/>
      <w:cols w:space="720" w:num="1"/>
      <w:docGrid w:type="lines" w:linePitch="43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_GBK">
    <w:altName w:val="微软雅黑"/>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jc w:val="right"/>
    </w:pPr>
    <w:r>
      <w:fldChar w:fldCharType="begin"/>
    </w:r>
    <w:r>
      <w:instrText xml:space="preserve"> PAGE   \* MERGEFORMAT </w:instrText>
    </w:r>
    <w:r>
      <w:fldChar w:fldCharType="separate"/>
    </w:r>
    <w:r>
      <w:rPr>
        <w:lang w:val="zh-CN"/>
      </w:rPr>
      <w:t>-</w:t>
    </w:r>
    <w:r>
      <w:t xml:space="preserve"> </w:t>
    </w:r>
    <w:r>
      <w:rPr>
        <w:sz w:val="20"/>
      </w:rPr>
      <w:t>25 -</w:t>
    </w:r>
    <w:r>
      <w:rPr>
        <w:sz w:val="20"/>
      </w:rPr>
      <w:fldChar w:fldCharType="end"/>
    </w:r>
  </w:p>
  <w:p>
    <w:pPr>
      <w:pStyle w:val="9"/>
      <w:ind w:left="72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r>
      <w:fldChar w:fldCharType="begin"/>
    </w:r>
    <w:r>
      <w:instrText xml:space="preserve"> PAGE   \* MERGEFORMAT </w:instrText>
    </w:r>
    <w:r>
      <w:fldChar w:fldCharType="separate"/>
    </w:r>
    <w:r>
      <w:rPr>
        <w:lang w:val="zh-CN"/>
      </w:rPr>
      <w:t>-</w:t>
    </w:r>
    <w:r>
      <w:t xml:space="preserve"> 24 -</w:t>
    </w:r>
    <w:r>
      <w:fldChar w:fldCharType="end"/>
    </w:r>
  </w:p>
  <w:p>
    <w:pPr>
      <w:pStyle w:val="9"/>
      <w:ind w:firstLine="0" w:firstLineChars="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72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left="72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left="720"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left="720"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6E551B"/>
    <w:multiLevelType w:val="singleLevel"/>
    <w:tmpl w:val="D96E551B"/>
    <w:lvl w:ilvl="0" w:tentative="0">
      <w:start w:val="1"/>
      <w:numFmt w:val="decimal"/>
      <w:suff w:val="space"/>
      <w:lvlText w:val="%1."/>
      <w:lvlJc w:val="left"/>
    </w:lvl>
  </w:abstractNum>
  <w:abstractNum w:abstractNumId="1">
    <w:nsid w:val="7BA928FC"/>
    <w:multiLevelType w:val="singleLevel"/>
    <w:tmpl w:val="7BA928FC"/>
    <w:lvl w:ilvl="0" w:tentative="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evenAndOddHeaders w:val="1"/>
  <w:drawingGridHorizontalSpacing w:val="160"/>
  <w:drawingGridVerticalSpacing w:val="435"/>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NzIwOGFiMTc1MmJjMjRhNDQzYmI0MTZlNGU4MmQifQ=="/>
  </w:docVars>
  <w:rsids>
    <w:rsidRoot w:val="008811D4"/>
    <w:rsid w:val="000A446B"/>
    <w:rsid w:val="000C1A86"/>
    <w:rsid w:val="00196903"/>
    <w:rsid w:val="00196B75"/>
    <w:rsid w:val="0021086C"/>
    <w:rsid w:val="002A153E"/>
    <w:rsid w:val="0031307F"/>
    <w:rsid w:val="003F6F13"/>
    <w:rsid w:val="00403AF5"/>
    <w:rsid w:val="004F50AC"/>
    <w:rsid w:val="00503C77"/>
    <w:rsid w:val="0052159C"/>
    <w:rsid w:val="00522FF1"/>
    <w:rsid w:val="005D0DAD"/>
    <w:rsid w:val="00623B58"/>
    <w:rsid w:val="00645752"/>
    <w:rsid w:val="0064776A"/>
    <w:rsid w:val="00692141"/>
    <w:rsid w:val="006B0C49"/>
    <w:rsid w:val="00731E1A"/>
    <w:rsid w:val="008811D4"/>
    <w:rsid w:val="0097042A"/>
    <w:rsid w:val="009B2D91"/>
    <w:rsid w:val="009B3817"/>
    <w:rsid w:val="009B7D28"/>
    <w:rsid w:val="00A6106E"/>
    <w:rsid w:val="00A663C3"/>
    <w:rsid w:val="00AB38C8"/>
    <w:rsid w:val="00B1695C"/>
    <w:rsid w:val="00CA0CBD"/>
    <w:rsid w:val="00CA5539"/>
    <w:rsid w:val="00D30956"/>
    <w:rsid w:val="00DD1D07"/>
    <w:rsid w:val="00DE486A"/>
    <w:rsid w:val="00E167B8"/>
    <w:rsid w:val="00EE5AB5"/>
    <w:rsid w:val="00F21266"/>
    <w:rsid w:val="00F77B3F"/>
    <w:rsid w:val="013F138E"/>
    <w:rsid w:val="01F950D6"/>
    <w:rsid w:val="04873B40"/>
    <w:rsid w:val="04CB2231"/>
    <w:rsid w:val="04F461BD"/>
    <w:rsid w:val="05545AFC"/>
    <w:rsid w:val="090F3539"/>
    <w:rsid w:val="09411FE5"/>
    <w:rsid w:val="0A17305A"/>
    <w:rsid w:val="0A8A61EC"/>
    <w:rsid w:val="0AAF2F2E"/>
    <w:rsid w:val="0B2F77B2"/>
    <w:rsid w:val="0CE26BA9"/>
    <w:rsid w:val="0E4E56FF"/>
    <w:rsid w:val="0E5A56B5"/>
    <w:rsid w:val="0E750D17"/>
    <w:rsid w:val="0E8C037D"/>
    <w:rsid w:val="0EED7974"/>
    <w:rsid w:val="103B5B93"/>
    <w:rsid w:val="103D69CC"/>
    <w:rsid w:val="13F60BD6"/>
    <w:rsid w:val="14406E72"/>
    <w:rsid w:val="156D6EED"/>
    <w:rsid w:val="166F0244"/>
    <w:rsid w:val="16FB55F8"/>
    <w:rsid w:val="18213B3C"/>
    <w:rsid w:val="190C22F8"/>
    <w:rsid w:val="1D756D31"/>
    <w:rsid w:val="1D893F68"/>
    <w:rsid w:val="1E4E5CD9"/>
    <w:rsid w:val="1FAE6AC1"/>
    <w:rsid w:val="1FF621AB"/>
    <w:rsid w:val="201452C8"/>
    <w:rsid w:val="21567DF3"/>
    <w:rsid w:val="21FC6EA7"/>
    <w:rsid w:val="22D16E8F"/>
    <w:rsid w:val="24F04189"/>
    <w:rsid w:val="262A53CE"/>
    <w:rsid w:val="26B578DB"/>
    <w:rsid w:val="27525D28"/>
    <w:rsid w:val="27D66C3F"/>
    <w:rsid w:val="27D8038B"/>
    <w:rsid w:val="28C37C43"/>
    <w:rsid w:val="29515BD9"/>
    <w:rsid w:val="2ADC5A78"/>
    <w:rsid w:val="2D916FF6"/>
    <w:rsid w:val="2E725102"/>
    <w:rsid w:val="2EF22C39"/>
    <w:rsid w:val="30734ED5"/>
    <w:rsid w:val="32397DA4"/>
    <w:rsid w:val="32BE7A91"/>
    <w:rsid w:val="34785A1F"/>
    <w:rsid w:val="35B07A7F"/>
    <w:rsid w:val="366C2509"/>
    <w:rsid w:val="36972959"/>
    <w:rsid w:val="3738397D"/>
    <w:rsid w:val="38E47A08"/>
    <w:rsid w:val="39DE3110"/>
    <w:rsid w:val="3AD51313"/>
    <w:rsid w:val="3D5D797E"/>
    <w:rsid w:val="3F9D26C6"/>
    <w:rsid w:val="417212DA"/>
    <w:rsid w:val="44486B8F"/>
    <w:rsid w:val="44B2000D"/>
    <w:rsid w:val="44D71470"/>
    <w:rsid w:val="45714753"/>
    <w:rsid w:val="45D95E36"/>
    <w:rsid w:val="466B5A34"/>
    <w:rsid w:val="46812ADD"/>
    <w:rsid w:val="46C35FD3"/>
    <w:rsid w:val="479A35A9"/>
    <w:rsid w:val="482961D1"/>
    <w:rsid w:val="48977148"/>
    <w:rsid w:val="492E0D9C"/>
    <w:rsid w:val="494A7FCC"/>
    <w:rsid w:val="4A413E97"/>
    <w:rsid w:val="4C1A53C3"/>
    <w:rsid w:val="4DEB139E"/>
    <w:rsid w:val="4E9B2695"/>
    <w:rsid w:val="4EDF2C76"/>
    <w:rsid w:val="50342E43"/>
    <w:rsid w:val="55C407E3"/>
    <w:rsid w:val="57596ADE"/>
    <w:rsid w:val="580E4603"/>
    <w:rsid w:val="5A1D3D19"/>
    <w:rsid w:val="5A3B5183"/>
    <w:rsid w:val="5AC454B1"/>
    <w:rsid w:val="5C2E5A14"/>
    <w:rsid w:val="5CAB249B"/>
    <w:rsid w:val="5D8225D3"/>
    <w:rsid w:val="5EA9169E"/>
    <w:rsid w:val="5F1266C6"/>
    <w:rsid w:val="5FEC6BEE"/>
    <w:rsid w:val="5FF7362B"/>
    <w:rsid w:val="61660A13"/>
    <w:rsid w:val="64754858"/>
    <w:rsid w:val="67294254"/>
    <w:rsid w:val="67945EC1"/>
    <w:rsid w:val="67BE2169"/>
    <w:rsid w:val="67F64C00"/>
    <w:rsid w:val="699D5FBC"/>
    <w:rsid w:val="6B6436D2"/>
    <w:rsid w:val="6F363C35"/>
    <w:rsid w:val="6F624A06"/>
    <w:rsid w:val="6FC772A4"/>
    <w:rsid w:val="717151E3"/>
    <w:rsid w:val="72903CB1"/>
    <w:rsid w:val="731C7029"/>
    <w:rsid w:val="749A2897"/>
    <w:rsid w:val="75703288"/>
    <w:rsid w:val="75FE4ABB"/>
    <w:rsid w:val="774A39AF"/>
    <w:rsid w:val="77B35936"/>
    <w:rsid w:val="7A4825F7"/>
    <w:rsid w:val="7BB31B85"/>
    <w:rsid w:val="7C301B9C"/>
    <w:rsid w:val="7DE92D30"/>
    <w:rsid w:val="7E3D3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line="560" w:lineRule="exact"/>
      <w:ind w:firstLine="200" w:firstLineChars="200"/>
    </w:pPr>
    <w:rPr>
      <w:rFonts w:ascii="Times New Roman" w:hAnsi="Times New Roman" w:eastAsia="仿宋_GB2312" w:cs="Times New Roman"/>
      <w:sz w:val="32"/>
      <w:szCs w:val="22"/>
      <w:lang w:val="en-US" w:eastAsia="zh-CN" w:bidi="ar-SA"/>
    </w:rPr>
  </w:style>
  <w:style w:type="paragraph" w:styleId="4">
    <w:name w:val="heading 1"/>
    <w:basedOn w:val="1"/>
    <w:next w:val="1"/>
    <w:link w:val="19"/>
    <w:qFormat/>
    <w:uiPriority w:val="9"/>
    <w:pPr>
      <w:keepNext/>
      <w:keepLines/>
      <w:spacing w:beforeLines="100" w:afterLines="100"/>
      <w:ind w:firstLine="0" w:firstLineChars="0"/>
      <w:jc w:val="center"/>
      <w:outlineLvl w:val="0"/>
    </w:pPr>
    <w:rPr>
      <w:rFonts w:eastAsia="方正小标宋简体"/>
      <w:bCs/>
      <w:kern w:val="44"/>
      <w:sz w:val="44"/>
      <w:szCs w:val="44"/>
    </w:rPr>
  </w:style>
  <w:style w:type="paragraph" w:styleId="5">
    <w:name w:val="heading 2"/>
    <w:basedOn w:val="1"/>
    <w:next w:val="1"/>
    <w:link w:val="20"/>
    <w:unhideWhenUsed/>
    <w:qFormat/>
    <w:uiPriority w:val="9"/>
    <w:pPr>
      <w:keepNext/>
      <w:keepLines/>
      <w:outlineLvl w:val="1"/>
    </w:pPr>
    <w:rPr>
      <w:rFonts w:eastAsia="黑体"/>
      <w:bCs/>
      <w:kern w:val="2"/>
      <w:szCs w:val="32"/>
    </w:rPr>
  </w:style>
  <w:style w:type="paragraph" w:styleId="6">
    <w:name w:val="heading 3"/>
    <w:basedOn w:val="1"/>
    <w:next w:val="1"/>
    <w:link w:val="21"/>
    <w:unhideWhenUsed/>
    <w:qFormat/>
    <w:uiPriority w:val="9"/>
    <w:pPr>
      <w:keepNext/>
      <w:keepLines/>
      <w:outlineLvl w:val="2"/>
    </w:pPr>
    <w:rPr>
      <w:rFonts w:eastAsia="楷体_GB2312"/>
      <w:b/>
      <w:bCs/>
      <w:kern w:val="2"/>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rPr>
      <w:rFonts w:eastAsia="宋体" w:cs="Times New Roman"/>
    </w:rPr>
  </w:style>
  <w:style w:type="paragraph" w:styleId="3">
    <w:name w:val="Body Text"/>
    <w:basedOn w:val="1"/>
    <w:qFormat/>
    <w:uiPriority w:val="0"/>
    <w:pPr>
      <w:spacing w:after="120"/>
    </w:pPr>
  </w:style>
  <w:style w:type="paragraph" w:styleId="7">
    <w:name w:val="Normal Indent"/>
    <w:basedOn w:val="1"/>
    <w:unhideWhenUsed/>
    <w:qFormat/>
    <w:uiPriority w:val="0"/>
    <w:pPr>
      <w:ind w:firstLine="420"/>
    </w:pPr>
    <w:rPr>
      <w:sz w:val="30"/>
    </w:rPr>
  </w:style>
  <w:style w:type="paragraph" w:styleId="8">
    <w:name w:val="Body Text Indent"/>
    <w:basedOn w:val="1"/>
    <w:next w:val="3"/>
    <w:qFormat/>
    <w:uiPriority w:val="0"/>
    <w:pPr>
      <w:spacing w:after="120"/>
      <w:ind w:left="420" w:leftChars="200"/>
    </w:pPr>
    <w:rPr>
      <w:rFonts w:ascii="Times New Roman" w:hAnsi="Times New Roman"/>
      <w:kern w:val="0"/>
      <w:sz w:val="20"/>
      <w:szCs w:val="20"/>
    </w:rPr>
  </w:style>
  <w:style w:type="paragraph" w:styleId="9">
    <w:name w:val="footer"/>
    <w:basedOn w:val="1"/>
    <w:link w:val="23"/>
    <w:qFormat/>
    <w:uiPriority w:val="99"/>
    <w:pPr>
      <w:tabs>
        <w:tab w:val="center" w:pos="4153"/>
        <w:tab w:val="right" w:pos="8306"/>
      </w:tabs>
    </w:pPr>
    <w:rPr>
      <w:sz w:val="18"/>
    </w:rPr>
  </w:style>
  <w:style w:type="paragraph" w:styleId="10">
    <w:name w:val="header"/>
    <w:basedOn w:val="1"/>
    <w:link w:val="22"/>
    <w:qFormat/>
    <w:uiPriority w:val="99"/>
    <w:pPr>
      <w:pBdr>
        <w:top w:val="none" w:color="auto" w:sz="0" w:space="1"/>
        <w:left w:val="none" w:color="auto" w:sz="0" w:space="4"/>
        <w:bottom w:val="none" w:color="auto" w:sz="0" w:space="1"/>
        <w:right w:val="none" w:color="auto" w:sz="0" w:space="4"/>
      </w:pBdr>
      <w:tabs>
        <w:tab w:val="center" w:pos="4153"/>
        <w:tab w:val="right" w:pos="8306"/>
      </w:tabs>
      <w:spacing w:line="240" w:lineRule="auto"/>
      <w:jc w:val="both"/>
    </w:pPr>
    <w:rPr>
      <w:sz w:val="18"/>
    </w:rPr>
  </w:style>
  <w:style w:type="paragraph" w:styleId="11">
    <w:name w:val="Normal (Web)"/>
    <w:basedOn w:val="1"/>
    <w:unhideWhenUsed/>
    <w:qFormat/>
    <w:uiPriority w:val="0"/>
    <w:pPr>
      <w:widowControl/>
      <w:spacing w:before="100" w:beforeAutospacing="1" w:after="100" w:afterAutospacing="1"/>
      <w:ind w:left="0" w:right="0"/>
      <w:jc w:val="left"/>
    </w:pPr>
    <w:rPr>
      <w:rFonts w:ascii="宋体" w:hAnsi="宋体" w:eastAsia="宋体" w:cs="宋体"/>
      <w:kern w:val="0"/>
      <w:sz w:val="24"/>
      <w:szCs w:val="24"/>
      <w:lang w:val="en-US" w:eastAsia="zh-CN" w:bidi="ar"/>
    </w:rPr>
  </w:style>
  <w:style w:type="paragraph" w:styleId="12">
    <w:name w:val="Title"/>
    <w:basedOn w:val="1"/>
    <w:qFormat/>
    <w:uiPriority w:val="10"/>
    <w:pPr>
      <w:spacing w:before="240" w:after="60"/>
      <w:jc w:val="center"/>
      <w:outlineLvl w:val="0"/>
    </w:pPr>
    <w:rPr>
      <w:rFonts w:ascii="Cambria" w:hAnsi="Cambria" w:eastAsia="宋体"/>
      <w:b/>
      <w:bCs/>
      <w:szCs w:val="32"/>
    </w:rPr>
  </w:style>
  <w:style w:type="paragraph" w:styleId="13">
    <w:name w:val="Body Text First Indent 2"/>
    <w:basedOn w:val="8"/>
    <w:next w:val="2"/>
    <w:qFormat/>
    <w:uiPriority w:val="0"/>
    <w:pPr>
      <w:spacing w:after="0"/>
      <w:ind w:firstLine="420" w:firstLineChars="200"/>
    </w:pPr>
    <w:rPr>
      <w:rFonts w:eastAsia="宋体" w:cs="Times New Roman"/>
      <w:szCs w:val="24"/>
    </w:rPr>
  </w:style>
  <w:style w:type="character" w:styleId="16">
    <w:name w:val="Strong"/>
    <w:basedOn w:val="15"/>
    <w:qFormat/>
    <w:uiPriority w:val="22"/>
    <w:rPr>
      <w:b/>
    </w:rPr>
  </w:style>
  <w:style w:type="character" w:styleId="17">
    <w:name w:val="Hyperlink"/>
    <w:basedOn w:val="15"/>
    <w:qFormat/>
    <w:uiPriority w:val="0"/>
    <w:rPr>
      <w:color w:val="0000FF"/>
      <w:u w:val="single"/>
    </w:rPr>
  </w:style>
  <w:style w:type="paragraph" w:customStyle="1" w:styleId="18">
    <w:name w:val="公文正文"/>
    <w:basedOn w:val="1"/>
    <w:qFormat/>
    <w:uiPriority w:val="0"/>
    <w:pPr>
      <w:ind w:firstLine="880"/>
    </w:pPr>
  </w:style>
  <w:style w:type="character" w:customStyle="1" w:styleId="19">
    <w:name w:val="标题 1 字符"/>
    <w:basedOn w:val="15"/>
    <w:link w:val="4"/>
    <w:qFormat/>
    <w:uiPriority w:val="9"/>
    <w:rPr>
      <w:rFonts w:ascii="Times New Roman" w:hAnsi="Times New Roman" w:eastAsia="方正小标宋简体"/>
      <w:bCs/>
      <w:kern w:val="44"/>
      <w:sz w:val="44"/>
      <w:szCs w:val="44"/>
    </w:rPr>
  </w:style>
  <w:style w:type="character" w:customStyle="1" w:styleId="20">
    <w:name w:val="标题 2 字符"/>
    <w:basedOn w:val="15"/>
    <w:link w:val="5"/>
    <w:qFormat/>
    <w:uiPriority w:val="9"/>
    <w:rPr>
      <w:rFonts w:ascii="Times New Roman" w:hAnsi="Times New Roman" w:eastAsia="黑体" w:cs="Times New Roman"/>
      <w:bCs/>
      <w:sz w:val="32"/>
      <w:szCs w:val="32"/>
    </w:rPr>
  </w:style>
  <w:style w:type="character" w:customStyle="1" w:styleId="21">
    <w:name w:val="标题 3 字符"/>
    <w:basedOn w:val="15"/>
    <w:link w:val="6"/>
    <w:qFormat/>
    <w:uiPriority w:val="9"/>
    <w:rPr>
      <w:rFonts w:ascii="Times New Roman" w:hAnsi="Times New Roman" w:eastAsia="楷体_GB2312"/>
      <w:b/>
      <w:bCs/>
      <w:sz w:val="32"/>
      <w:szCs w:val="32"/>
    </w:rPr>
  </w:style>
  <w:style w:type="character" w:customStyle="1" w:styleId="22">
    <w:name w:val="页眉 字符"/>
    <w:basedOn w:val="15"/>
    <w:link w:val="10"/>
    <w:qFormat/>
    <w:uiPriority w:val="99"/>
    <w:rPr>
      <w:rFonts w:ascii="Times New Roman" w:hAnsi="Times New Roman" w:eastAsia="仿宋_GB2312"/>
      <w:kern w:val="0"/>
      <w:sz w:val="18"/>
    </w:rPr>
  </w:style>
  <w:style w:type="character" w:customStyle="1" w:styleId="23">
    <w:name w:val="页脚 字符"/>
    <w:basedOn w:val="15"/>
    <w:link w:val="9"/>
    <w:qFormat/>
    <w:uiPriority w:val="99"/>
    <w:rPr>
      <w:rFonts w:ascii="Times New Roman" w:hAnsi="Times New Roman" w:eastAsia="仿宋_GB2312"/>
      <w:kern w:val="0"/>
      <w:sz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2252</Words>
  <Characters>2325</Characters>
  <Lines>109</Lines>
  <Paragraphs>30</Paragraphs>
  <TotalTime>6</TotalTime>
  <ScaleCrop>false</ScaleCrop>
  <LinksUpToDate>false</LinksUpToDate>
  <CharactersWithSpaces>2350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2021-10-10T09:39:00Z</dcterms:created>
  <dc:creator>Administrator</dc:creator>
  <cp:lastModifiedBy>微信用户</cp:lastModifiedBy>
  <cp:lastPrinted>2023-01-09T02:11:00Z</cp:lastPrinted>
  <dcterms:modified xsi:type="dcterms:W3CDTF">2023-11-08T03:47:11Z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AC067EC5F9D14A46BA510B3A173CFB65_13</vt:lpwstr>
  </property>
</Properties>
</file>