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jc w:val="both"/>
        <w:rPr>
          <w:rFonts w:hint="eastAsia"/>
          <w:sz w:val="32"/>
          <w:szCs w:val="32"/>
          <w:shd w:val="clear" w:color="auto" w:fill="FFFFFF"/>
        </w:rPr>
      </w:pPr>
      <w:r>
        <w:rPr>
          <w:rFonts w:hint="eastAsia"/>
          <w:sz w:val="32"/>
          <w:szCs w:val="32"/>
          <w:shd w:val="clear" w:color="auto" w:fill="FFFFFF"/>
        </w:rPr>
        <w:t>附件</w:t>
      </w:r>
      <w:r>
        <w:rPr>
          <w:rFonts w:hint="eastAsia"/>
          <w:sz w:val="32"/>
          <w:szCs w:val="32"/>
          <w:shd w:val="clear" w:color="auto" w:fill="FFFFFF"/>
          <w:lang w:val="en-US" w:eastAsia="zh-CN"/>
        </w:rPr>
        <w:t>1</w:t>
      </w:r>
      <w:r>
        <w:rPr>
          <w:rFonts w:hint="eastAsia"/>
          <w:sz w:val="32"/>
          <w:szCs w:val="32"/>
          <w:shd w:val="clear" w:color="auto" w:fill="FFFFFF"/>
        </w:rPr>
        <w:t>：</w:t>
      </w:r>
    </w:p>
    <w:p>
      <w:pPr>
        <w:pStyle w:val="4"/>
        <w:spacing w:beforeLines="0" w:afterLines="0"/>
        <w:rPr>
          <w:rFonts w:hint="default" w:ascii="Times New Roman" w:hAnsi="Times New Roman" w:cs="Times New Roman"/>
        </w:rPr>
      </w:pPr>
      <w:r>
        <w:rPr>
          <w:rFonts w:hint="default" w:ascii="Times New Roman" w:hAnsi="Times New Roman" w:cs="Times New Roman"/>
          <w:lang w:eastAsia="zh-CN"/>
        </w:rPr>
        <w:t>202</w:t>
      </w:r>
      <w:r>
        <w:rPr>
          <w:rFonts w:hint="eastAsia" w:cs="Times New Roman"/>
          <w:lang w:val="en-US" w:eastAsia="zh-CN"/>
        </w:rPr>
        <w:t>4</w:t>
      </w:r>
      <w:r>
        <w:rPr>
          <w:rFonts w:hint="default" w:ascii="Times New Roman" w:hAnsi="Times New Roman" w:cs="Times New Roman"/>
        </w:rPr>
        <w:t>年重大科技项目申报指南</w:t>
      </w:r>
    </w:p>
    <w:p>
      <w:pPr>
        <w:pStyle w:val="5"/>
        <w:pageBreakBefore w:val="0"/>
        <w:widowControl/>
        <w:numPr>
          <w:ilvl w:val="0"/>
          <w:numId w:val="1"/>
        </w:numPr>
        <w:kinsoku/>
        <w:wordWrap/>
        <w:overflowPunct/>
        <w:topLinePunct w:val="0"/>
        <w:autoSpaceDE/>
        <w:autoSpaceDN/>
        <w:bidi w:val="0"/>
        <w:adjustRightInd w:val="0"/>
        <w:snapToGrid w:val="0"/>
        <w:ind w:firstLineChars="0"/>
        <w:textAlignment w:val="auto"/>
        <w:rPr>
          <w:rFonts w:hint="default" w:ascii="Times New Roman" w:hAnsi="Times New Roman" w:cs="Times New Roman"/>
        </w:rPr>
      </w:pPr>
      <w:r>
        <w:rPr>
          <w:rFonts w:hint="default" w:ascii="Times New Roman" w:hAnsi="Times New Roman" w:cs="Times New Roman"/>
        </w:rPr>
        <w:t>重点支持方向</w:t>
      </w:r>
    </w:p>
    <w:p>
      <w:pPr>
        <w:pageBreakBefore w:val="0"/>
        <w:widowControl/>
        <w:numPr>
          <w:ilvl w:val="0"/>
          <w:numId w:val="2"/>
        </w:numPr>
        <w:kinsoku/>
        <w:wordWrap/>
        <w:overflowPunct/>
        <w:topLinePunct w:val="0"/>
        <w:autoSpaceDE/>
        <w:autoSpaceDN/>
        <w:bidi w:val="0"/>
        <w:adjustRightInd w:val="0"/>
        <w:snapToGrid w:val="0"/>
        <w:ind w:firstLine="640"/>
        <w:textAlignment w:val="auto"/>
        <w:rPr>
          <w:rFonts w:hint="default" w:ascii="Times New Roman" w:hAnsi="Times New Roman" w:eastAsia="楷体_GB2312" w:cs="Times New Roman"/>
          <w:b/>
          <w:bCs/>
          <w:color w:val="auto"/>
          <w:szCs w:val="32"/>
        </w:rPr>
      </w:pPr>
      <w:r>
        <w:rPr>
          <w:rFonts w:hint="eastAsia" w:eastAsia="楷体_GB2312" w:cs="Times New Roman"/>
          <w:b/>
          <w:bCs/>
          <w:color w:val="auto"/>
          <w:szCs w:val="32"/>
          <w:lang w:val="en-US" w:eastAsia="zh-CN"/>
        </w:rPr>
        <w:t>垦区主要作物抗逆抗虫转基因育种关键</w:t>
      </w:r>
      <w:r>
        <w:rPr>
          <w:rFonts w:hint="default" w:ascii="Times New Roman" w:hAnsi="Times New Roman" w:eastAsia="楷体_GB2312" w:cs="Times New Roman"/>
          <w:b/>
          <w:bCs/>
          <w:color w:val="auto"/>
          <w:szCs w:val="32"/>
        </w:rPr>
        <w:t>技术研究及</w:t>
      </w:r>
      <w:r>
        <w:rPr>
          <w:rFonts w:hint="eastAsia" w:eastAsia="楷体_GB2312" w:cs="Times New Roman"/>
          <w:b/>
          <w:bCs/>
          <w:color w:val="auto"/>
          <w:szCs w:val="32"/>
          <w:lang w:val="en-US" w:eastAsia="zh-CN"/>
        </w:rPr>
        <w:t>种质资源创制</w:t>
      </w:r>
    </w:p>
    <w:p>
      <w:pPr>
        <w:pStyle w:val="2"/>
        <w:pageBreakBefore w:val="0"/>
        <w:widowControl/>
        <w:numPr>
          <w:ilvl w:val="0"/>
          <w:numId w:val="3"/>
        </w:numPr>
        <w:kinsoku/>
        <w:wordWrap/>
        <w:overflowPunct/>
        <w:topLinePunct w:val="0"/>
        <w:autoSpaceDE/>
        <w:autoSpaceDN/>
        <w:bidi w:val="0"/>
        <w:adjustRightInd w:val="0"/>
        <w:snapToGrid w:val="0"/>
        <w:spacing w:after="0"/>
        <w:ind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项目目标</w:t>
      </w:r>
    </w:p>
    <w:p>
      <w:pPr>
        <w:pStyle w:val="2"/>
        <w:pageBreakBefore w:val="0"/>
        <w:widowControl/>
        <w:numPr>
          <w:ilvl w:val="0"/>
          <w:numId w:val="0"/>
        </w:numPr>
        <w:kinsoku/>
        <w:wordWrap/>
        <w:overflowPunct/>
        <w:topLinePunct w:val="0"/>
        <w:autoSpaceDE/>
        <w:autoSpaceDN/>
        <w:bidi w:val="0"/>
        <w:adjustRightInd w:val="0"/>
        <w:snapToGrid w:val="0"/>
        <w:spacing w:after="0"/>
        <w:ind w:firstLine="640" w:firstLineChars="200"/>
        <w:textAlignment w:val="auto"/>
        <w:rPr>
          <w:rFonts w:hint="default" w:eastAsia="仿宋_GB2312" w:cs="Times New Roman"/>
          <w:color w:val="auto"/>
          <w:lang w:val="en-US" w:eastAsia="zh-CN"/>
        </w:rPr>
      </w:pPr>
      <w:r>
        <w:rPr>
          <w:rFonts w:hint="eastAsia" w:eastAsia="仿宋_GB2312" w:cs="Times New Roman"/>
          <w:color w:val="auto"/>
          <w:lang w:val="en-US" w:eastAsia="zh-CN"/>
        </w:rPr>
        <w:t>为</w:t>
      </w:r>
      <w:r>
        <w:rPr>
          <w:rFonts w:hint="default" w:ascii="Times New Roman" w:hAnsi="Times New Roman" w:eastAsia="仿宋_GB2312" w:cs="Times New Roman"/>
          <w:color w:val="auto"/>
          <w:lang w:val="en-US" w:eastAsia="zh-CN"/>
        </w:rPr>
        <w:t>加快推进师市农业现代化及</w:t>
      </w:r>
      <w:r>
        <w:rPr>
          <w:rFonts w:hint="eastAsia" w:eastAsia="仿宋_GB2312" w:cs="Times New Roman"/>
          <w:color w:val="auto"/>
          <w:lang w:val="en-US" w:eastAsia="zh-CN"/>
        </w:rPr>
        <w:t>主要经济作物高产优质可持续发展，</w:t>
      </w:r>
      <w:r>
        <w:rPr>
          <w:rFonts w:hint="default" w:ascii="Times New Roman" w:hAnsi="Times New Roman" w:eastAsia="仿宋_GB2312" w:cs="Times New Roman"/>
          <w:color w:val="auto"/>
          <w:lang w:val="en-US" w:eastAsia="zh-CN"/>
        </w:rPr>
        <w:t>落实种业振兴行动，</w:t>
      </w:r>
      <w:r>
        <w:rPr>
          <w:rFonts w:hint="eastAsia" w:eastAsia="仿宋_GB2312" w:cs="Times New Roman"/>
          <w:color w:val="auto"/>
          <w:lang w:val="en-US" w:eastAsia="zh-CN"/>
        </w:rPr>
        <w:t>加强优良功能基因引进与转基因等共性关键先进育种技术应用，培育未来5-10年垦区主要经济作物核心种质材料</w:t>
      </w:r>
      <w:r>
        <w:rPr>
          <w:rFonts w:hint="default" w:ascii="Times New Roman" w:hAnsi="Times New Roman" w:eastAsia="仿宋_GB2312" w:cs="Times New Roman"/>
          <w:color w:val="auto"/>
          <w:lang w:val="en-US" w:eastAsia="zh-CN"/>
        </w:rPr>
        <w:t>，</w:t>
      </w:r>
      <w:r>
        <w:rPr>
          <w:rFonts w:hint="eastAsia" w:eastAsia="仿宋_GB2312" w:cs="Times New Roman"/>
          <w:color w:val="auto"/>
          <w:lang w:val="en-US" w:eastAsia="zh-CN"/>
        </w:rPr>
        <w:t>支持以</w:t>
      </w:r>
      <w:r>
        <w:rPr>
          <w:rFonts w:hint="default" w:ascii="Times New Roman" w:hAnsi="Times New Roman" w:eastAsia="仿宋_GB2312" w:cs="Times New Roman"/>
          <w:color w:val="auto"/>
          <w:lang w:val="en-US" w:eastAsia="zh-CN"/>
        </w:rPr>
        <w:t>市场化应用</w:t>
      </w:r>
      <w:r>
        <w:rPr>
          <w:rFonts w:hint="eastAsia" w:eastAsia="仿宋_GB2312" w:cs="Times New Roman"/>
          <w:color w:val="auto"/>
          <w:lang w:val="en-US" w:eastAsia="zh-CN"/>
        </w:rPr>
        <w:t>为前提，联合中国科学院新疆分院新疆生地所等国内知识产权方，</w:t>
      </w:r>
      <w:r>
        <w:rPr>
          <w:rFonts w:hint="default" w:ascii="Times New Roman" w:hAnsi="Times New Roman" w:eastAsia="仿宋_GB2312" w:cs="Times New Roman"/>
          <w:color w:val="auto"/>
          <w:lang w:val="en-US" w:eastAsia="zh-CN"/>
        </w:rPr>
        <w:t>开展</w:t>
      </w:r>
      <w:r>
        <w:rPr>
          <w:rFonts w:hint="eastAsia" w:eastAsia="仿宋_GB2312" w:cs="Times New Roman"/>
          <w:color w:val="auto"/>
          <w:lang w:val="en-US" w:eastAsia="zh-CN"/>
        </w:rPr>
        <w:t>棉花、小麦</w:t>
      </w:r>
      <w:r>
        <w:rPr>
          <w:rFonts w:hint="default" w:eastAsia="仿宋_GB2312" w:cs="Times New Roman"/>
          <w:color w:val="auto"/>
          <w:lang w:val="en-US" w:eastAsia="zh-CN"/>
        </w:rPr>
        <w:t>等主要作物</w:t>
      </w:r>
      <w:r>
        <w:rPr>
          <w:rFonts w:hint="eastAsia" w:eastAsia="仿宋_GB2312" w:cs="Times New Roman"/>
          <w:color w:val="auto"/>
          <w:lang w:val="en-US" w:eastAsia="zh-CN"/>
        </w:rPr>
        <w:t>抗旱、耐寒、耐盐、抗黄萎病、抗虫、超高产等关键性状相关基因引进与挖掘，利用基因导入与编辑、高能量芯片鉴定与选择等转基因</w:t>
      </w:r>
      <w:r>
        <w:rPr>
          <w:rFonts w:hint="default" w:eastAsia="仿宋_GB2312" w:cs="Times New Roman"/>
          <w:color w:val="auto"/>
          <w:lang w:val="en-US" w:eastAsia="zh-CN"/>
        </w:rPr>
        <w:t>技术研究及应用，</w:t>
      </w:r>
      <w:r>
        <w:rPr>
          <w:rFonts w:hint="eastAsia" w:eastAsia="仿宋_GB2312" w:cs="Times New Roman"/>
          <w:color w:val="auto"/>
          <w:lang w:val="en-US" w:eastAsia="zh-CN"/>
        </w:rPr>
        <w:t>促进师市商业化育种技术升级及关键种质资源创制技术进步，创制一批核心种质资源材料，有效改善</w:t>
      </w:r>
      <w:r>
        <w:rPr>
          <w:rFonts w:hint="default" w:eastAsia="仿宋_GB2312" w:cs="Times New Roman"/>
          <w:color w:val="auto"/>
          <w:lang w:val="en-US" w:eastAsia="zh-CN"/>
        </w:rPr>
        <w:t>作物高效节水</w:t>
      </w:r>
      <w:r>
        <w:rPr>
          <w:rFonts w:hint="eastAsia" w:eastAsia="仿宋_GB2312" w:cs="Times New Roman"/>
          <w:color w:val="auto"/>
          <w:lang w:val="en-US" w:eastAsia="zh-CN"/>
        </w:rPr>
        <w:t>、抗病抗虫等性状，推动田间生产节水节药及超高产创建</w:t>
      </w:r>
      <w:r>
        <w:rPr>
          <w:rFonts w:hint="default" w:eastAsia="仿宋_GB2312" w:cs="Times New Roman"/>
          <w:color w:val="auto"/>
          <w:lang w:val="en-US" w:eastAsia="zh-CN"/>
        </w:rPr>
        <w:t>。</w:t>
      </w:r>
    </w:p>
    <w:p>
      <w:pPr>
        <w:pStyle w:val="2"/>
        <w:pageBreakBefore w:val="0"/>
        <w:widowControl/>
        <w:numPr>
          <w:ilvl w:val="0"/>
          <w:numId w:val="3"/>
        </w:numPr>
        <w:kinsoku/>
        <w:wordWrap/>
        <w:overflowPunct/>
        <w:topLinePunct w:val="0"/>
        <w:autoSpaceDE/>
        <w:autoSpaceDN/>
        <w:bidi w:val="0"/>
        <w:adjustRightInd w:val="0"/>
        <w:snapToGrid w:val="0"/>
        <w:spacing w:after="0"/>
        <w:ind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项目任务</w:t>
      </w:r>
    </w:p>
    <w:p>
      <w:pPr>
        <w:pStyle w:val="2"/>
        <w:pageBreakBefore w:val="0"/>
        <w:widowControl/>
        <w:numPr>
          <w:ilvl w:val="0"/>
          <w:numId w:val="0"/>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任务1：抗旱抗虫转基因棉花种质资源创</w:t>
      </w:r>
      <w:r>
        <w:rPr>
          <w:rFonts w:hint="eastAsia" w:eastAsia="仿宋_GB2312" w:cs="Times New Roman"/>
          <w:color w:val="auto"/>
          <w:lang w:val="en-US" w:eastAsia="zh-CN"/>
        </w:rPr>
        <w:t>制</w:t>
      </w:r>
      <w:r>
        <w:rPr>
          <w:rFonts w:hint="default" w:ascii="Times New Roman" w:hAnsi="Times New Roman" w:eastAsia="仿宋_GB2312" w:cs="Times New Roman"/>
          <w:color w:val="auto"/>
          <w:lang w:val="en-US" w:eastAsia="zh-CN"/>
        </w:rPr>
        <w:t>。</w:t>
      </w:r>
      <w:r>
        <w:rPr>
          <w:rFonts w:hint="eastAsia" w:eastAsia="仿宋_GB2312" w:cs="Times New Roman"/>
          <w:color w:val="auto"/>
          <w:lang w:val="en-US" w:eastAsia="zh-CN"/>
        </w:rPr>
        <w:t>以现有优良品种及优良种质材料为基础，优化组装熟化配套形成具有较高可靠性和成功率的转基因等技术应用规程，</w:t>
      </w:r>
      <w:r>
        <w:rPr>
          <w:rFonts w:hint="default" w:ascii="Times New Roman" w:hAnsi="Times New Roman" w:eastAsia="仿宋_GB2312" w:cs="Times New Roman"/>
          <w:color w:val="auto"/>
          <w:lang w:val="en-US" w:eastAsia="zh-CN"/>
        </w:rPr>
        <w:t>转化创制</w:t>
      </w:r>
      <w:r>
        <w:rPr>
          <w:rFonts w:hint="eastAsia" w:eastAsia="仿宋_GB2312" w:cs="Times New Roman"/>
          <w:color w:val="auto"/>
          <w:lang w:val="en-US" w:eastAsia="zh-CN"/>
        </w:rPr>
        <w:t>具有</w:t>
      </w:r>
      <w:r>
        <w:rPr>
          <w:rFonts w:hint="default" w:ascii="Times New Roman" w:hAnsi="Times New Roman" w:eastAsia="仿宋_GB2312" w:cs="Times New Roman"/>
          <w:color w:val="auto"/>
          <w:lang w:val="en-US" w:eastAsia="zh-CN"/>
        </w:rPr>
        <w:t>重大应用价值和自主知识产权的含有</w:t>
      </w:r>
      <w:r>
        <w:rPr>
          <w:rFonts w:hint="eastAsia" w:eastAsia="仿宋_GB2312" w:cs="Times New Roman"/>
          <w:color w:val="auto"/>
          <w:lang w:val="en-US" w:eastAsia="zh-CN"/>
        </w:rPr>
        <w:t>特定抗旱</w:t>
      </w:r>
      <w:r>
        <w:rPr>
          <w:rFonts w:hint="default" w:ascii="Times New Roman" w:hAnsi="Times New Roman" w:eastAsia="仿宋_GB2312" w:cs="Times New Roman"/>
          <w:color w:val="auto"/>
          <w:lang w:val="en-US" w:eastAsia="zh-CN"/>
        </w:rPr>
        <w:t>基因</w:t>
      </w:r>
      <w:r>
        <w:rPr>
          <w:rFonts w:hint="eastAsia" w:eastAsia="仿宋_GB2312" w:cs="Times New Roman"/>
          <w:color w:val="auto"/>
          <w:lang w:val="en-US" w:eastAsia="zh-CN"/>
        </w:rPr>
        <w:t>、</w:t>
      </w:r>
      <w:r>
        <w:rPr>
          <w:rFonts w:hint="default" w:ascii="Times New Roman" w:hAnsi="Times New Roman" w:eastAsia="仿宋_GB2312" w:cs="Times New Roman"/>
          <w:color w:val="auto"/>
          <w:lang w:val="en-US" w:eastAsia="zh-CN"/>
        </w:rPr>
        <w:t>抗盲蝽象等新型抗虫基因</w:t>
      </w:r>
      <w:r>
        <w:rPr>
          <w:rFonts w:hint="eastAsia" w:eastAsia="仿宋_GB2312" w:cs="Times New Roman"/>
          <w:color w:val="auto"/>
          <w:lang w:val="en-US" w:eastAsia="zh-CN"/>
        </w:rPr>
        <w:t>及早熟超高产的优良</w:t>
      </w:r>
      <w:r>
        <w:rPr>
          <w:rFonts w:hint="default" w:ascii="Times New Roman" w:hAnsi="Times New Roman" w:eastAsia="仿宋_GB2312" w:cs="Times New Roman"/>
          <w:color w:val="auto"/>
          <w:lang w:val="en-US" w:eastAsia="zh-CN"/>
        </w:rPr>
        <w:t>棉花种质资源材料</w:t>
      </w:r>
      <w:r>
        <w:rPr>
          <w:rFonts w:hint="eastAsia" w:eastAsia="仿宋_GB2312" w:cs="Times New Roman"/>
          <w:color w:val="auto"/>
          <w:lang w:val="en-US" w:eastAsia="zh-CN"/>
        </w:rPr>
        <w:t>。</w:t>
      </w:r>
    </w:p>
    <w:p>
      <w:pPr>
        <w:pStyle w:val="2"/>
        <w:pageBreakBefore w:val="0"/>
        <w:widowControl/>
        <w:numPr>
          <w:ilvl w:val="0"/>
          <w:numId w:val="0"/>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任务</w:t>
      </w:r>
      <w:r>
        <w:rPr>
          <w:rFonts w:hint="eastAsia" w:eastAsia="仿宋_GB2312" w:cs="Times New Roman"/>
          <w:color w:val="auto"/>
          <w:lang w:val="en-US" w:eastAsia="zh-CN"/>
        </w:rPr>
        <w:t>2</w:t>
      </w:r>
      <w:r>
        <w:rPr>
          <w:rFonts w:hint="default" w:ascii="Times New Roman" w:hAnsi="Times New Roman" w:eastAsia="仿宋_GB2312" w:cs="Times New Roman"/>
          <w:color w:val="auto"/>
          <w:lang w:val="en-US" w:eastAsia="zh-CN"/>
        </w:rPr>
        <w:t>：基于高通量基因芯片鉴定的棉花抗黄萎病种质资源创制和新品种培育。引入南北疆不同黄萎病发病区抗病基因资源，发掘适于师市棉花种植区的抗病位点和基因，利用芯片选择、基因编辑等技术，创制抗病种质资源材料</w:t>
      </w:r>
      <w:r>
        <w:rPr>
          <w:rFonts w:hint="eastAsia" w:eastAsia="仿宋_GB2312" w:cs="Times New Roman"/>
          <w:color w:val="auto"/>
          <w:lang w:val="en-US" w:eastAsia="zh-CN"/>
        </w:rPr>
        <w:t>及</w:t>
      </w:r>
      <w:r>
        <w:rPr>
          <w:rFonts w:hint="default" w:ascii="Times New Roman" w:hAnsi="Times New Roman" w:eastAsia="仿宋_GB2312" w:cs="Times New Roman"/>
          <w:color w:val="auto"/>
          <w:lang w:val="en-US" w:eastAsia="zh-CN"/>
        </w:rPr>
        <w:t>新品</w:t>
      </w:r>
      <w:r>
        <w:rPr>
          <w:rFonts w:hint="eastAsia" w:eastAsia="仿宋_GB2312" w:cs="Times New Roman"/>
          <w:color w:val="auto"/>
          <w:lang w:val="en-US" w:eastAsia="zh-CN"/>
        </w:rPr>
        <w:t>系。</w:t>
      </w:r>
    </w:p>
    <w:p>
      <w:pPr>
        <w:pStyle w:val="2"/>
        <w:pageBreakBefore w:val="0"/>
        <w:widowControl/>
        <w:numPr>
          <w:ilvl w:val="0"/>
          <w:numId w:val="0"/>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任务</w:t>
      </w:r>
      <w:r>
        <w:rPr>
          <w:rFonts w:hint="eastAsia" w:eastAsia="仿宋_GB2312" w:cs="Times New Roman"/>
          <w:color w:val="auto"/>
          <w:lang w:val="en-US" w:eastAsia="zh-CN"/>
        </w:rPr>
        <w:t>3</w:t>
      </w:r>
      <w:r>
        <w:rPr>
          <w:rFonts w:hint="default" w:ascii="Times New Roman" w:hAnsi="Times New Roman" w:eastAsia="仿宋_GB2312" w:cs="Times New Roman"/>
          <w:color w:val="auto"/>
          <w:lang w:val="en-US" w:eastAsia="zh-CN"/>
        </w:rPr>
        <w:t>：</w:t>
      </w:r>
      <w:r>
        <w:rPr>
          <w:rFonts w:hint="eastAsia" w:eastAsia="仿宋_GB2312" w:cs="Times New Roman"/>
          <w:color w:val="auto"/>
          <w:lang w:val="en-US" w:eastAsia="zh-CN"/>
        </w:rPr>
        <w:t>作物抗逆抗虫转基因种质资源（材料）检验检测平台应用</w:t>
      </w:r>
      <w:r>
        <w:rPr>
          <w:rFonts w:hint="default" w:ascii="Times New Roman" w:hAnsi="Times New Roman" w:eastAsia="仿宋_GB2312" w:cs="Times New Roman"/>
          <w:color w:val="auto"/>
          <w:lang w:val="en-US" w:eastAsia="zh-CN"/>
        </w:rPr>
        <w:t>示范。</w:t>
      </w:r>
      <w:r>
        <w:rPr>
          <w:rFonts w:hint="eastAsia" w:eastAsia="仿宋_GB2312" w:cs="Times New Roman"/>
          <w:color w:val="auto"/>
          <w:lang w:val="en-US" w:eastAsia="zh-CN"/>
        </w:rPr>
        <w:t>开展垦区主要作物转基因种质材料室内鉴定及大田检验检测基地建设，</w:t>
      </w:r>
      <w:r>
        <w:rPr>
          <w:rFonts w:hint="default" w:ascii="Times New Roman" w:hAnsi="Times New Roman" w:eastAsia="仿宋_GB2312" w:cs="Times New Roman"/>
          <w:color w:val="auto"/>
          <w:lang w:val="en-US" w:eastAsia="zh-CN"/>
        </w:rPr>
        <w:t>制定</w:t>
      </w:r>
      <w:r>
        <w:rPr>
          <w:rFonts w:hint="eastAsia" w:eastAsia="仿宋_GB2312" w:cs="Times New Roman"/>
          <w:color w:val="auto"/>
          <w:lang w:val="en-US" w:eastAsia="zh-CN"/>
        </w:rPr>
        <w:t>种质材料检测、</w:t>
      </w:r>
      <w:r>
        <w:rPr>
          <w:rFonts w:hint="default" w:ascii="Times New Roman" w:hAnsi="Times New Roman" w:eastAsia="仿宋_GB2312" w:cs="Times New Roman"/>
          <w:color w:val="auto"/>
          <w:lang w:val="en-US" w:eastAsia="zh-CN"/>
        </w:rPr>
        <w:t>栽培管理</w:t>
      </w:r>
      <w:r>
        <w:rPr>
          <w:rFonts w:hint="eastAsia" w:eastAsia="仿宋_GB2312" w:cs="Times New Roman"/>
          <w:color w:val="auto"/>
          <w:lang w:val="en-US" w:eastAsia="zh-CN"/>
        </w:rPr>
        <w:t>等</w:t>
      </w:r>
      <w:r>
        <w:rPr>
          <w:rFonts w:hint="default" w:ascii="Times New Roman" w:hAnsi="Times New Roman" w:eastAsia="仿宋_GB2312" w:cs="Times New Roman"/>
          <w:color w:val="auto"/>
          <w:lang w:val="en-US" w:eastAsia="zh-CN"/>
        </w:rPr>
        <w:t>技术规程，开展</w:t>
      </w:r>
      <w:r>
        <w:rPr>
          <w:rFonts w:hint="eastAsia" w:eastAsia="仿宋_GB2312" w:cs="Times New Roman"/>
          <w:color w:val="auto"/>
          <w:lang w:val="en-US" w:eastAsia="zh-CN"/>
        </w:rPr>
        <w:t>检验检测技术应用及品种（系）试验示范</w:t>
      </w:r>
      <w:r>
        <w:rPr>
          <w:rFonts w:hint="default" w:ascii="Times New Roman" w:hAnsi="Times New Roman" w:eastAsia="仿宋_GB2312" w:cs="Times New Roman"/>
          <w:color w:val="auto"/>
          <w:lang w:val="en-US" w:eastAsia="zh-CN"/>
        </w:rPr>
        <w:t>。</w:t>
      </w:r>
    </w:p>
    <w:p>
      <w:pPr>
        <w:pStyle w:val="2"/>
        <w:pageBreakBefore w:val="0"/>
        <w:widowControl/>
        <w:numPr>
          <w:ilvl w:val="0"/>
          <w:numId w:val="3"/>
        </w:numPr>
        <w:kinsoku/>
        <w:wordWrap/>
        <w:overflowPunct/>
        <w:topLinePunct w:val="0"/>
        <w:autoSpaceDE/>
        <w:autoSpaceDN/>
        <w:bidi w:val="0"/>
        <w:adjustRightInd w:val="0"/>
        <w:snapToGrid w:val="0"/>
        <w:spacing w:after="0"/>
        <w:ind w:firstLine="640" w:firstLineChars="200"/>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考核指标</w:t>
      </w:r>
    </w:p>
    <w:p>
      <w:pPr>
        <w:pStyle w:val="2"/>
        <w:pageBreakBefore w:val="0"/>
        <w:widowControl/>
        <w:numPr>
          <w:ilvl w:val="0"/>
          <w:numId w:val="4"/>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eastAsia="仿宋_GB2312" w:cs="Times New Roman"/>
          <w:color w:val="auto"/>
          <w:lang w:val="en-US" w:eastAsia="zh-CN"/>
        </w:rPr>
      </w:pPr>
      <w:r>
        <w:rPr>
          <w:rFonts w:hint="default" w:ascii="Times New Roman" w:hAnsi="Times New Roman" w:eastAsia="仿宋_GB2312" w:cs="Times New Roman"/>
          <w:color w:val="auto"/>
          <w:lang w:val="en-US" w:eastAsia="zh-CN"/>
        </w:rPr>
        <w:t>培育具有自主知识产权</w:t>
      </w:r>
      <w:r>
        <w:rPr>
          <w:rFonts w:hint="eastAsia" w:eastAsia="仿宋_GB2312" w:cs="Times New Roman"/>
          <w:color w:val="auto"/>
          <w:lang w:val="en-US" w:eastAsia="zh-CN"/>
        </w:rPr>
        <w:t>、遗传性状稳定、亲和及表达良好</w:t>
      </w:r>
      <w:r>
        <w:rPr>
          <w:rFonts w:hint="default" w:ascii="Times New Roman" w:hAnsi="Times New Roman" w:eastAsia="仿宋_GB2312" w:cs="Times New Roman"/>
          <w:color w:val="auto"/>
          <w:lang w:val="en-US" w:eastAsia="zh-CN"/>
        </w:rPr>
        <w:t>的转基因抗旱、抗虫</w:t>
      </w:r>
      <w:r>
        <w:rPr>
          <w:rFonts w:hint="eastAsia" w:eastAsia="仿宋_GB2312" w:cs="Times New Roman"/>
          <w:color w:val="auto"/>
          <w:lang w:val="en-US" w:eastAsia="zh-CN"/>
        </w:rPr>
        <w:t>、抗黄萎病、超高产（单一或复合型）</w:t>
      </w:r>
      <w:r>
        <w:rPr>
          <w:rFonts w:hint="default" w:ascii="Times New Roman" w:hAnsi="Times New Roman" w:eastAsia="仿宋_GB2312" w:cs="Times New Roman"/>
          <w:color w:val="auto"/>
          <w:lang w:val="en-US" w:eastAsia="zh-CN"/>
        </w:rPr>
        <w:t>棉花种质资源材料</w:t>
      </w:r>
      <w:r>
        <w:rPr>
          <w:rFonts w:hint="eastAsia" w:eastAsia="仿宋_GB2312" w:cs="Times New Roman"/>
          <w:color w:val="auto"/>
          <w:lang w:val="en-US" w:eastAsia="zh-CN"/>
        </w:rPr>
        <w:t>18-25份</w:t>
      </w:r>
      <w:r>
        <w:rPr>
          <w:rFonts w:hint="default" w:ascii="Times New Roman" w:hAnsi="Times New Roman" w:eastAsia="仿宋_GB2312" w:cs="Times New Roman"/>
          <w:color w:val="auto"/>
          <w:lang w:val="en-US" w:eastAsia="zh-CN"/>
        </w:rPr>
        <w:t>，</w:t>
      </w:r>
      <w:r>
        <w:rPr>
          <w:rFonts w:hint="eastAsia" w:eastAsia="仿宋_GB2312" w:cs="Times New Roman"/>
          <w:color w:val="auto"/>
          <w:lang w:val="en-US" w:eastAsia="zh-CN"/>
        </w:rPr>
        <w:t>其中抗旱材料表达为</w:t>
      </w:r>
      <w:r>
        <w:rPr>
          <w:rFonts w:hint="default" w:ascii="Times New Roman" w:hAnsi="Times New Roman" w:eastAsia="仿宋_GB2312" w:cs="Times New Roman"/>
          <w:color w:val="auto"/>
          <w:lang w:val="en-US" w:eastAsia="zh-CN"/>
        </w:rPr>
        <w:t>全生育期抗旱节水15-20%</w:t>
      </w:r>
      <w:r>
        <w:rPr>
          <w:rFonts w:hint="eastAsia" w:eastAsia="仿宋_GB2312" w:cs="Times New Roman"/>
          <w:color w:val="auto"/>
          <w:lang w:val="en-US" w:eastAsia="zh-CN"/>
        </w:rPr>
        <w:t>，抗棉蛉虫、盲蝽象、夜蛾等抗虫材料在主要危害期达到抗性级别，抗黄萎病种质材料携带1-2个重要抗病基因且转育利用的F1代抗病；选育具有抗虫抗旱、抗黄萎病、超高产（单一或复合型）等特定品系2-3个。</w:t>
      </w:r>
    </w:p>
    <w:p>
      <w:pPr>
        <w:pStyle w:val="2"/>
        <w:pageBreakBefore w:val="0"/>
        <w:widowControl/>
        <w:numPr>
          <w:ilvl w:val="0"/>
          <w:numId w:val="4"/>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eastAsia="仿宋_GB2312" w:cs="Times New Roman"/>
          <w:color w:val="auto"/>
          <w:lang w:val="en-US" w:eastAsia="zh-CN"/>
        </w:rPr>
      </w:pPr>
      <w:r>
        <w:rPr>
          <w:rFonts w:hint="eastAsia" w:eastAsia="仿宋_GB2312" w:cs="Times New Roman"/>
          <w:color w:val="auto"/>
          <w:lang w:val="en-US" w:eastAsia="zh-CN"/>
        </w:rPr>
        <w:t>研究制定特定功能基因转基因/育种技术规程，基于农杆菌介导法、基因枪轰击法及花粉管通道法等转化技术，形成规模化转基因技术组合，对转化效率、受体基因型、转移基因种类等进行优化，在主要指标上接近或达到国内先进水平。</w:t>
      </w:r>
    </w:p>
    <w:p>
      <w:pPr>
        <w:pStyle w:val="2"/>
        <w:pageBreakBefore w:val="0"/>
        <w:widowControl/>
        <w:numPr>
          <w:ilvl w:val="0"/>
          <w:numId w:val="4"/>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eastAsia="仿宋_GB2312" w:cs="Times New Roman"/>
          <w:color w:val="auto"/>
          <w:lang w:val="en-US" w:eastAsia="zh-CN"/>
        </w:rPr>
      </w:pPr>
      <w:r>
        <w:rPr>
          <w:rFonts w:hint="eastAsia" w:eastAsia="仿宋_GB2312" w:cs="Times New Roman"/>
          <w:color w:val="auto"/>
          <w:lang w:val="en-US" w:eastAsia="zh-CN"/>
        </w:rPr>
        <w:t>探索制定分子标记、</w:t>
      </w:r>
      <w:r>
        <w:rPr>
          <w:rFonts w:hint="default" w:ascii="Times New Roman" w:hAnsi="Times New Roman" w:eastAsia="仿宋_GB2312" w:cs="Times New Roman"/>
          <w:color w:val="auto"/>
          <w:lang w:val="en-US" w:eastAsia="zh-CN"/>
        </w:rPr>
        <w:t>全基因组和基因水平的基因型精准鉴定，构建涵盖种质资源表型、基因型等信息的数据库</w:t>
      </w:r>
      <w:r>
        <w:rPr>
          <w:rFonts w:hint="eastAsia" w:eastAsia="仿宋_GB2312" w:cs="Times New Roman"/>
          <w:color w:val="auto"/>
          <w:lang w:val="en-US" w:eastAsia="zh-CN"/>
        </w:rPr>
        <w:t>，</w:t>
      </w:r>
      <w:r>
        <w:rPr>
          <w:rFonts w:hint="default" w:ascii="Times New Roman" w:hAnsi="Times New Roman" w:eastAsia="仿宋_GB2312" w:cs="Times New Roman"/>
          <w:color w:val="auto"/>
          <w:lang w:val="en-US" w:eastAsia="zh-CN"/>
        </w:rPr>
        <w:t>制订</w:t>
      </w:r>
      <w:r>
        <w:rPr>
          <w:rFonts w:hint="eastAsia" w:eastAsia="仿宋_GB2312" w:cs="Times New Roman"/>
          <w:color w:val="auto"/>
          <w:lang w:val="en-US" w:eastAsia="zh-CN"/>
        </w:rPr>
        <w:t>特定功能基因快速鉴定等检验检测技术规程3-5个，检验准确率及可靠性、时效性、成本等可满足棉花商业化育种需要。</w:t>
      </w:r>
    </w:p>
    <w:p>
      <w:pPr>
        <w:pStyle w:val="2"/>
        <w:pageBreakBefore w:val="0"/>
        <w:widowControl/>
        <w:numPr>
          <w:ilvl w:val="0"/>
          <w:numId w:val="4"/>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eastAsia="仿宋_GB2312" w:cs="Times New Roman"/>
          <w:color w:val="auto"/>
          <w:lang w:val="en-US" w:eastAsia="zh-CN"/>
        </w:rPr>
      </w:pPr>
      <w:r>
        <w:rPr>
          <w:rFonts w:hint="eastAsia" w:eastAsia="仿宋_GB2312" w:cs="Times New Roman"/>
          <w:color w:val="auto"/>
          <w:lang w:val="en-US" w:eastAsia="zh-CN"/>
        </w:rPr>
        <w:t>制定抗旱、超高产及转基因棉花大田检验检测技术规程，建设大田鉴定（检验检测）</w:t>
      </w:r>
      <w:r>
        <w:rPr>
          <w:rFonts w:hint="default" w:eastAsia="仿宋_GB2312" w:cs="Times New Roman"/>
          <w:color w:val="auto"/>
          <w:lang w:val="en-US" w:eastAsia="zh-CN"/>
        </w:rPr>
        <w:t>基地</w:t>
      </w:r>
      <w:r>
        <w:rPr>
          <w:rFonts w:hint="eastAsia" w:eastAsia="仿宋_GB2312" w:cs="Times New Roman"/>
          <w:color w:val="auto"/>
          <w:lang w:val="en-US" w:eastAsia="zh-CN"/>
        </w:rPr>
        <w:t>2-3</w:t>
      </w:r>
      <w:r>
        <w:rPr>
          <w:rFonts w:hint="default" w:eastAsia="仿宋_GB2312" w:cs="Times New Roman"/>
          <w:color w:val="auto"/>
          <w:lang w:val="en-US" w:eastAsia="zh-CN"/>
        </w:rPr>
        <w:t>个</w:t>
      </w:r>
      <w:r>
        <w:rPr>
          <w:rFonts w:hint="eastAsia" w:eastAsia="仿宋_GB2312" w:cs="Times New Roman"/>
          <w:color w:val="auto"/>
          <w:lang w:val="en-US" w:eastAsia="zh-CN"/>
        </w:rPr>
        <w:t>，总面积不小于120亩</w:t>
      </w:r>
      <w:r>
        <w:rPr>
          <w:rFonts w:hint="default" w:eastAsia="仿宋_GB2312" w:cs="Times New Roman"/>
          <w:color w:val="auto"/>
          <w:lang w:val="en-US" w:eastAsia="zh-CN"/>
        </w:rPr>
        <w:t>，</w:t>
      </w:r>
      <w:r>
        <w:rPr>
          <w:rFonts w:hint="eastAsia" w:eastAsia="仿宋_GB2312" w:cs="Times New Roman"/>
          <w:color w:val="auto"/>
          <w:lang w:val="en-US" w:eastAsia="zh-CN"/>
        </w:rPr>
        <w:t>可满足600-1000份材料育种及检测需要。</w:t>
      </w:r>
    </w:p>
    <w:p>
      <w:pPr>
        <w:pStyle w:val="2"/>
        <w:pageBreakBefore w:val="0"/>
        <w:widowControl/>
        <w:numPr>
          <w:ilvl w:val="0"/>
          <w:numId w:val="4"/>
        </w:numPr>
        <w:kinsoku/>
        <w:wordWrap/>
        <w:overflowPunct/>
        <w:topLinePunct w:val="0"/>
        <w:autoSpaceDE/>
        <w:autoSpaceDN/>
        <w:bidi w:val="0"/>
        <w:adjustRightInd w:val="0"/>
        <w:snapToGrid w:val="0"/>
        <w:spacing w:after="0" w:line="560" w:lineRule="exact"/>
        <w:ind w:left="0" w:leftChars="0" w:firstLine="640" w:firstLineChars="200"/>
        <w:textAlignment w:val="auto"/>
        <w:rPr>
          <w:rFonts w:hint="default" w:eastAsia="仿宋_GB2312" w:cs="Times New Roman"/>
          <w:color w:val="auto"/>
          <w:lang w:val="en-US" w:eastAsia="zh-CN"/>
        </w:rPr>
      </w:pPr>
      <w:r>
        <w:rPr>
          <w:rFonts w:hint="default" w:eastAsia="仿宋_GB2312" w:cs="Times New Roman"/>
          <w:color w:val="auto"/>
          <w:lang w:val="en-US" w:eastAsia="zh-CN"/>
        </w:rPr>
        <w:t>申</w:t>
      </w:r>
      <w:r>
        <w:rPr>
          <w:rFonts w:hint="eastAsia" w:eastAsia="仿宋_GB2312" w:cs="Times New Roman"/>
          <w:color w:val="auto"/>
          <w:lang w:val="en-US" w:eastAsia="zh-CN"/>
        </w:rPr>
        <w:t>请发明</w:t>
      </w:r>
      <w:r>
        <w:rPr>
          <w:rFonts w:hint="default" w:eastAsia="仿宋_GB2312" w:cs="Times New Roman"/>
          <w:color w:val="auto"/>
          <w:lang w:val="en-US" w:eastAsia="zh-CN"/>
        </w:rPr>
        <w:t>专利</w:t>
      </w:r>
      <w:r>
        <w:rPr>
          <w:rFonts w:hint="eastAsia" w:eastAsia="仿宋_GB2312" w:cs="Times New Roman"/>
          <w:color w:val="auto"/>
          <w:lang w:val="en-US" w:eastAsia="zh-CN"/>
        </w:rPr>
        <w:t>6</w:t>
      </w:r>
      <w:r>
        <w:rPr>
          <w:rFonts w:hint="default" w:eastAsia="仿宋_GB2312" w:cs="Times New Roman"/>
          <w:color w:val="auto"/>
          <w:lang w:val="en-US" w:eastAsia="zh-CN"/>
        </w:rPr>
        <w:t>项，发表论文</w:t>
      </w:r>
      <w:r>
        <w:rPr>
          <w:rFonts w:hint="eastAsia" w:eastAsia="仿宋_GB2312" w:cs="Times New Roman"/>
          <w:color w:val="auto"/>
          <w:lang w:val="en-US" w:eastAsia="zh-CN"/>
        </w:rPr>
        <w:t>12</w:t>
      </w:r>
      <w:r>
        <w:rPr>
          <w:rFonts w:hint="default" w:eastAsia="仿宋_GB2312" w:cs="Times New Roman"/>
          <w:color w:val="auto"/>
          <w:lang w:val="en-US" w:eastAsia="zh-CN"/>
        </w:rPr>
        <w:t>篇。</w:t>
      </w:r>
    </w:p>
    <w:p>
      <w:pPr>
        <w:keepNext w:val="0"/>
        <w:keepLines w:val="0"/>
        <w:pageBreakBefore w:val="0"/>
        <w:kinsoku/>
        <w:wordWrap/>
        <w:overflowPunct/>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000000"/>
          <w:sz w:val="24"/>
          <w:szCs w:val="24"/>
        </w:rPr>
      </w:pPr>
      <w:r>
        <w:rPr>
          <w:rFonts w:hint="default" w:ascii="Times New Roman" w:hAnsi="Times New Roman" w:eastAsia="楷体_GB2312" w:cs="Times New Roman"/>
          <w:b/>
          <w:bCs/>
          <w:color w:val="000000"/>
          <w:sz w:val="32"/>
          <w:szCs w:val="32"/>
          <w:lang w:val="en-US" w:eastAsia="zh-CN"/>
        </w:rPr>
        <w:t>（</w:t>
      </w:r>
      <w:r>
        <w:rPr>
          <w:rFonts w:hint="eastAsia" w:eastAsia="楷体_GB2312" w:cs="Times New Roman"/>
          <w:b/>
          <w:bCs/>
          <w:color w:val="000000"/>
          <w:sz w:val="32"/>
          <w:szCs w:val="32"/>
          <w:lang w:val="en-US" w:eastAsia="zh-CN"/>
        </w:rPr>
        <w:t>二</w:t>
      </w:r>
      <w:r>
        <w:rPr>
          <w:rFonts w:hint="default" w:ascii="Times New Roman" w:hAnsi="Times New Roman" w:eastAsia="楷体_GB2312" w:cs="Times New Roman"/>
          <w:b/>
          <w:bCs/>
          <w:color w:val="000000"/>
          <w:sz w:val="32"/>
          <w:szCs w:val="32"/>
          <w:lang w:val="en-US" w:eastAsia="zh-CN"/>
        </w:rPr>
        <w:t>）万吨级硅光伏组件技术的研究与示范</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1.</w:t>
      </w:r>
      <w:r>
        <w:rPr>
          <w:rFonts w:hint="eastAsia" w:cs="Times New Roman"/>
          <w:b w:val="0"/>
          <w:bCs/>
          <w:sz w:val="32"/>
          <w:szCs w:val="32"/>
          <w:lang w:val="en-US" w:eastAsia="zh-CN"/>
        </w:rPr>
        <w:t xml:space="preserve"> </w:t>
      </w:r>
      <w:r>
        <w:rPr>
          <w:rFonts w:hint="default" w:ascii="Times New Roman" w:hAnsi="Times New Roman" w:eastAsia="仿宋_GB2312" w:cs="Times New Roman"/>
          <w:b w:val="0"/>
          <w:bCs/>
          <w:sz w:val="32"/>
          <w:szCs w:val="32"/>
        </w:rPr>
        <w:t>项目目标</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开发光伏组件中光伏焊带基材、高性能涂层和绿色低碳生产新工艺，在完成理论设计和论证的基础上，建设万吨级硅光伏组件的工业示范装置，有效减少铜、锡合金和助焊剂用量，降低碳排放，提高能源效率，进一步循环利用或无害化处理光伏焊带生产中的废渣与废液，获得成熟稳定、可实施大规模工业应用的硅光伏组件生产与节能成套技术。</w:t>
      </w:r>
    </w:p>
    <w:p>
      <w:pPr>
        <w:keepNext w:val="0"/>
        <w:keepLines w:val="0"/>
        <w:pageBreakBefore w:val="0"/>
        <w:numPr>
          <w:ilvl w:val="0"/>
          <w:numId w:val="5"/>
        </w:numP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项目任务</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任务1：硅光伏组件焊带技术基材工艺研究与示范</w:t>
      </w:r>
      <w:r>
        <w:rPr>
          <w:rFonts w:hint="eastAsia" w:cs="Times New Roman"/>
          <w:sz w:val="32"/>
          <w:szCs w:val="32"/>
          <w:lang w:val="en-US" w:eastAsia="zh-CN"/>
        </w:rPr>
        <w:t>。</w:t>
      </w:r>
      <w:r>
        <w:rPr>
          <w:rFonts w:hint="eastAsia" w:ascii="Times New Roman" w:hAnsi="Times New Roman" w:eastAsia="仿宋_GB2312" w:cs="Times New Roman"/>
          <w:sz w:val="32"/>
          <w:szCs w:val="32"/>
          <w:lang w:val="en-US" w:eastAsia="zh-CN"/>
        </w:rPr>
        <w:t>研究光伏焊带基材铜材，通过优化铜材的纯度、规格尺寸，导电性能、强度等因素确定最佳的工艺参数。</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任务2：硅光伏组件技术中高性能涂层的研究与应用</w:t>
      </w:r>
      <w:r>
        <w:rPr>
          <w:rFonts w:hint="eastAsia" w:cs="Times New Roman"/>
          <w:sz w:val="32"/>
          <w:szCs w:val="32"/>
          <w:lang w:val="en-US" w:eastAsia="zh-CN"/>
        </w:rPr>
        <w:t>。</w:t>
      </w:r>
      <w:r>
        <w:rPr>
          <w:rFonts w:hint="eastAsia" w:ascii="Times New Roman" w:hAnsi="Times New Roman" w:eastAsia="仿宋_GB2312" w:cs="Times New Roman"/>
          <w:sz w:val="32"/>
          <w:szCs w:val="32"/>
          <w:lang w:val="en-US" w:eastAsia="zh-CN"/>
        </w:rPr>
        <w:t>研究光伏焊带表面涂层锡合金，通过研究锡合金的化学、物理、力学性能等确定最佳的工艺参数。</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仿宋" w:hAnsi="仿宋" w:eastAsia="仿宋" w:cs="仿宋"/>
          <w:sz w:val="30"/>
          <w:szCs w:val="30"/>
          <w:lang w:val="en-US" w:eastAsia="zh-CN"/>
        </w:rPr>
      </w:pPr>
      <w:r>
        <w:rPr>
          <w:rFonts w:hint="eastAsia" w:ascii="Times New Roman" w:hAnsi="Times New Roman" w:eastAsia="仿宋_GB2312" w:cs="Times New Roman"/>
          <w:sz w:val="32"/>
          <w:szCs w:val="32"/>
          <w:lang w:val="en-US" w:eastAsia="zh-CN"/>
        </w:rPr>
        <w:t>任务3：硅光伏组件生产“三废”处理技术集成与示范</w:t>
      </w:r>
      <w:r>
        <w:rPr>
          <w:rFonts w:hint="eastAsia" w:cs="Times New Roman"/>
          <w:sz w:val="32"/>
          <w:szCs w:val="32"/>
          <w:lang w:val="en-US" w:eastAsia="zh-CN"/>
        </w:rPr>
        <w:t>。</w:t>
      </w:r>
      <w:r>
        <w:rPr>
          <w:rFonts w:hint="eastAsia" w:ascii="Times New Roman" w:hAnsi="Times New Roman" w:eastAsia="仿宋_GB2312" w:cs="Times New Roman"/>
          <w:sz w:val="32"/>
          <w:szCs w:val="32"/>
          <w:lang w:val="en-US" w:eastAsia="zh-CN"/>
        </w:rPr>
        <w:t>以光伏焊带废固、废液、废气作为研究对象，构建“三废”处理工艺以满足国家环保要求，搭建“三废”处理示范装置。</w:t>
      </w:r>
    </w:p>
    <w:p>
      <w:pPr>
        <w:pStyle w:val="2"/>
        <w:keepNext w:val="0"/>
        <w:keepLines w:val="0"/>
        <w:pageBreakBefore w:val="0"/>
        <w:numPr>
          <w:ilvl w:val="0"/>
          <w:numId w:val="5"/>
        </w:numPr>
        <w:kinsoku/>
        <w:wordWrap/>
        <w:overflowPunct/>
        <w:topLinePunct w:val="0"/>
        <w:autoSpaceDE/>
        <w:autoSpaceDN/>
        <w:bidi w:val="0"/>
        <w:adjustRightInd/>
        <w:spacing w:after="0" w:line="560" w:lineRule="exact"/>
        <w:ind w:left="0" w:leftChars="0"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考核指标</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（1）基材导电率100%IACS（国标98%IACS），Cu含量≥99.9%（国标≥99.5%）;涂层铅锡合金化学成分A级及以上，涂层中Cu含量≤0.5%。</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rPr>
        <w:t>（2）</w:t>
      </w:r>
      <w:r>
        <w:rPr>
          <w:rFonts w:hint="eastAsia" w:ascii="Times New Roman" w:hAnsi="Times New Roman" w:cs="Times New Roman"/>
          <w:sz w:val="32"/>
          <w:szCs w:val="32"/>
          <w:lang w:val="en-US" w:eastAsia="zh-CN"/>
        </w:rPr>
        <w:t>产品性能：抗拉强度(MPa)Min.150（国标Min120），延伸率(%)Min.25（国标Min.20），屈服强度（Mpa）Max.185（国标Max.120），弯曲度≤5mm/m。电阻率≤0.0225Q.mm²/m（常规），≤0.0195Q.mm²/m（低电阻），≤0.0220Ω.mm²/m（低温）。</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rPr>
        <w:t>（3）</w:t>
      </w:r>
      <w:r>
        <w:rPr>
          <w:rFonts w:hint="eastAsia" w:ascii="Times New Roman" w:hAnsi="Times New Roman" w:cs="Times New Roman"/>
          <w:sz w:val="32"/>
          <w:szCs w:val="32"/>
          <w:lang w:val="en-US" w:eastAsia="zh-CN"/>
        </w:rPr>
        <w:t>搭建“三废”处理示范装置一套，废气最高允许排放浓度：非甲烷总烃120mg/m</w:t>
      </w:r>
      <w:r>
        <w:rPr>
          <w:rFonts w:hint="eastAsia" w:ascii="微软雅黑" w:hAnsi="微软雅黑" w:eastAsia="微软雅黑" w:cs="微软雅黑"/>
          <w:sz w:val="32"/>
          <w:szCs w:val="32"/>
          <w:lang w:val="en-US" w:eastAsia="zh-CN"/>
        </w:rPr>
        <w:t>³</w:t>
      </w:r>
      <w:r>
        <w:rPr>
          <w:rFonts w:hint="eastAsia" w:ascii="Times New Roman" w:hAnsi="Times New Roman" w:cs="Times New Roman"/>
          <w:sz w:val="32"/>
          <w:szCs w:val="32"/>
          <w:lang w:val="en-US" w:eastAsia="zh-CN"/>
        </w:rPr>
        <w:t>、锡及其化合物8.5mg/m</w:t>
      </w:r>
      <w:r>
        <w:rPr>
          <w:rFonts w:hint="eastAsia" w:ascii="微软雅黑" w:hAnsi="微软雅黑" w:eastAsia="微软雅黑" w:cs="微软雅黑"/>
          <w:sz w:val="32"/>
          <w:szCs w:val="32"/>
          <w:lang w:val="en-US" w:eastAsia="zh-CN"/>
        </w:rPr>
        <w:t>³</w:t>
      </w:r>
      <w:r>
        <w:rPr>
          <w:rFonts w:hint="eastAsia" w:ascii="Times New Roman" w:hAnsi="Times New Roman" w:cs="Times New Roman"/>
          <w:sz w:val="32"/>
          <w:szCs w:val="32"/>
          <w:lang w:val="en-US" w:eastAsia="zh-CN"/>
        </w:rPr>
        <w:t>；30m高排气筒最高允许排放速率：非甲烷总烃53 kg/h、锡及其化合物1.8 kg/h；废水、废固中铜、锡及其化合物含量满足“三废”排放或处理满足国家环保要求，并提供相关部门环评报告一份。</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（4）建设万吨级光伏组件工程，新增营收≥1亿/年，新增税收2000万/年。</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（5）申请新型实用专利3-4件，发明专利1-2件，在核心期刊及以上学术期刊发表研究论文3-5篇。</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（6）培养助理工程师3-4名，中级工程师2-3名，高级工程师1-3</w:t>
      </w:r>
      <w:r>
        <w:rPr>
          <w:rFonts w:hint="eastAsia" w:cs="Times New Roman"/>
          <w:sz w:val="32"/>
          <w:szCs w:val="32"/>
          <w:lang w:val="en-US" w:eastAsia="zh-CN"/>
        </w:rPr>
        <w:t>名</w:t>
      </w:r>
      <w:r>
        <w:rPr>
          <w:rFonts w:hint="eastAsia" w:ascii="Times New Roman" w:hAnsi="Times New Roman" w:cs="Times New Roman"/>
          <w:sz w:val="32"/>
          <w:szCs w:val="32"/>
          <w:lang w:val="en-US" w:eastAsia="zh-CN"/>
        </w:rPr>
        <w:t>，培养研究生2-4名。</w:t>
      </w:r>
    </w:p>
    <w:p>
      <w:pPr>
        <w:keepNext w:val="0"/>
        <w:keepLines w:val="0"/>
        <w:pageBreakBefore w:val="0"/>
        <w:kinsoku/>
        <w:wordWrap/>
        <w:overflowPunct/>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000000"/>
          <w:sz w:val="24"/>
          <w:szCs w:val="24"/>
        </w:rPr>
      </w:pPr>
      <w:r>
        <w:rPr>
          <w:rFonts w:hint="default" w:ascii="Times New Roman" w:hAnsi="Times New Roman" w:eastAsia="楷体_GB2312" w:cs="Times New Roman"/>
          <w:b/>
          <w:bCs/>
          <w:color w:val="000000"/>
          <w:sz w:val="32"/>
          <w:szCs w:val="32"/>
          <w:lang w:val="en-US" w:eastAsia="zh-CN"/>
        </w:rPr>
        <w:t>（</w:t>
      </w:r>
      <w:r>
        <w:rPr>
          <w:rFonts w:hint="eastAsia" w:eastAsia="楷体_GB2312" w:cs="Times New Roman"/>
          <w:b/>
          <w:bCs/>
          <w:color w:val="000000"/>
          <w:sz w:val="32"/>
          <w:szCs w:val="32"/>
          <w:lang w:val="en-US" w:eastAsia="zh-CN"/>
        </w:rPr>
        <w:t>三</w:t>
      </w:r>
      <w:r>
        <w:rPr>
          <w:rFonts w:hint="default" w:ascii="Times New Roman" w:hAnsi="Times New Roman" w:eastAsia="楷体_GB2312" w:cs="Times New Roman"/>
          <w:b/>
          <w:bCs/>
          <w:color w:val="000000"/>
          <w:sz w:val="32"/>
          <w:szCs w:val="32"/>
          <w:lang w:val="en-US" w:eastAsia="zh-CN"/>
        </w:rPr>
        <w:t>）新能源车载充电机用高容电极箔产品开发</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1.</w:t>
      </w:r>
      <w:r>
        <w:rPr>
          <w:rFonts w:hint="eastAsia" w:cs="Times New Roman"/>
          <w:b w:val="0"/>
          <w:bCs/>
          <w:sz w:val="32"/>
          <w:szCs w:val="32"/>
          <w:lang w:val="en-US" w:eastAsia="zh-CN"/>
        </w:rPr>
        <w:t xml:space="preserve"> </w:t>
      </w:r>
      <w:r>
        <w:rPr>
          <w:rFonts w:hint="default" w:ascii="Times New Roman" w:hAnsi="Times New Roman" w:eastAsia="仿宋_GB2312" w:cs="Times New Roman"/>
          <w:b w:val="0"/>
          <w:bCs/>
          <w:sz w:val="32"/>
          <w:szCs w:val="32"/>
        </w:rPr>
        <w:t>项目目标</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cs="Times New Roman"/>
          <w:sz w:val="32"/>
          <w:szCs w:val="32"/>
          <w:highlight w:val="none"/>
          <w:lang w:val="en-US" w:eastAsia="zh-CN"/>
        </w:rPr>
        <w:t>随着国家对新能源汽车推广，新能源汽车使用的车载充电机技术发展迅速，针对车载充电机产品使用的电容器用箔的开发势在必行。通过研究制备非晶质氧化膜，增加磷酸处时间和处理强度，研究温度、浓度、处理时间对氧化膜外观形态及漏电流的影响，攻克车载充电机用高容电极箔生产关键技术，优化生产工艺，使其达到车载充电机用高容电极箔需要具备良好的温度特性、较低的阻抗值、低漏电、长寿命、高稳定性等特性，实现新能源车载充电机用化成箔产品的批量化生产。</w:t>
      </w:r>
    </w:p>
    <w:p>
      <w:pPr>
        <w:keepNext w:val="0"/>
        <w:keepLines w:val="0"/>
        <w:pageBreakBefore w:val="0"/>
        <w:numPr>
          <w:ilvl w:val="0"/>
          <w:numId w:val="6"/>
        </w:numP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项目任务</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任务</w:t>
      </w:r>
      <w:r>
        <w:rPr>
          <w:rFonts w:hint="default" w:ascii="Times New Roman" w:hAnsi="Times New Roman" w:eastAsia="仿宋_GB2312" w:cs="Times New Roman"/>
          <w:sz w:val="32"/>
          <w:szCs w:val="32"/>
          <w:lang w:val="en-US" w:eastAsia="zh-CN"/>
        </w:rPr>
        <w:t>1</w:t>
      </w:r>
      <w:r>
        <w:rPr>
          <w:rFonts w:hint="eastAsia" w:ascii="Times New Roman" w:hAnsi="Times New Roman" w:cs="Times New Roman"/>
          <w:sz w:val="32"/>
          <w:szCs w:val="32"/>
          <w:lang w:val="en-US" w:eastAsia="zh-CN"/>
        </w:rPr>
        <w:t>：研究车载充电机超高压化成工序与工艺各参数之间最佳配比并开发一种化合物附着在氧化膜表面，提升产品的耐水合性，提高产品氧化层的介电性能、漏电流性能；重点解决车载充电机使用电极箔产品各项指标准标的参数，实现新产品1h水煮时间≤30s,12h水煮时间≤150s。</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任务</w:t>
      </w:r>
      <w:r>
        <w:rPr>
          <w:rFonts w:hint="default" w:ascii="Times New Roman" w:hAnsi="Times New Roman" w:eastAsia="仿宋_GB2312" w:cs="Times New Roman"/>
          <w:sz w:val="32"/>
          <w:szCs w:val="32"/>
          <w:lang w:val="en-US" w:eastAsia="zh-CN"/>
        </w:rPr>
        <w:t>2</w:t>
      </w:r>
      <w:r>
        <w:rPr>
          <w:rFonts w:hint="eastAsia" w:ascii="Times New Roman" w:hAnsi="Times New Roman" w:cs="Times New Roman"/>
          <w:sz w:val="32"/>
          <w:szCs w:val="32"/>
          <w:lang w:val="en-US" w:eastAsia="zh-CN"/>
        </w:rPr>
        <w:t>：使用DOE方法分析不同化工原料对氧化膜生长形态变化，通过不同形态的氧化膜对产品性能的影响；实现新产品寿命105℃，5000H。</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cs="Times New Roman"/>
          <w:sz w:val="32"/>
          <w:szCs w:val="32"/>
          <w:lang w:val="en-US" w:eastAsia="zh-CN"/>
        </w:rPr>
        <w:t>任务</w:t>
      </w:r>
      <w:r>
        <w:rPr>
          <w:rFonts w:hint="default" w:ascii="Times New Roman" w:hAnsi="Times New Roman" w:eastAsia="仿宋_GB2312" w:cs="Times New Roman"/>
          <w:sz w:val="32"/>
          <w:szCs w:val="32"/>
          <w:lang w:val="en-US" w:eastAsia="zh-CN"/>
        </w:rPr>
        <w:t>3</w:t>
      </w:r>
      <w:r>
        <w:rPr>
          <w:rFonts w:hint="eastAsia" w:ascii="Times New Roman" w:hAnsi="Times New Roman" w:cs="Times New Roman"/>
          <w:sz w:val="32"/>
          <w:szCs w:val="32"/>
          <w:lang w:val="en-US" w:eastAsia="zh-CN"/>
        </w:rPr>
        <w:t>：研究热处理温度、时间对化成箔机械性能的影响。研究解决</w:t>
      </w:r>
      <w:r>
        <w:rPr>
          <w:rFonts w:hint="default" w:ascii="Times New Roman" w:hAnsi="Times New Roman" w:eastAsia="仿宋_GB2312" w:cs="Times New Roman"/>
          <w:sz w:val="32"/>
          <w:szCs w:val="32"/>
          <w:lang w:val="en-US" w:eastAsia="zh-CN"/>
        </w:rPr>
        <w:t>γ-Al₂O₃</w:t>
      </w:r>
      <w:r>
        <w:rPr>
          <w:rFonts w:hint="eastAsia" w:ascii="Times New Roman" w:hAnsi="Times New Roman" w:cs="Times New Roman"/>
          <w:sz w:val="32"/>
          <w:szCs w:val="32"/>
          <w:lang w:val="en-US" w:eastAsia="zh-CN"/>
        </w:rPr>
        <w:t>氧化膜晶型的转换对电极箔漏电流和损耗的影响，降低产品漏电流，提升产品的寿命；使640Vf高容电极箔产品容量达到0.66μf/cm</w:t>
      </w:r>
      <w:r>
        <w:rPr>
          <w:rFonts w:hint="eastAsia" w:ascii="微软雅黑" w:hAnsi="微软雅黑" w:eastAsia="微软雅黑" w:cs="微软雅黑"/>
          <w:sz w:val="32"/>
          <w:szCs w:val="32"/>
          <w:lang w:val="en-US" w:eastAsia="zh-CN"/>
        </w:rPr>
        <w:t>²</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cs="Times New Roman"/>
          <w:sz w:val="32"/>
          <w:szCs w:val="32"/>
          <w:lang w:val="en-US" w:eastAsia="zh-CN"/>
        </w:rPr>
        <w:t>以上比容，660Vf高容电极箔产品容量达到0.62μf/cm</w:t>
      </w:r>
      <w:r>
        <w:rPr>
          <w:rFonts w:hint="eastAsia" w:ascii="微软雅黑" w:hAnsi="微软雅黑" w:eastAsia="微软雅黑" w:cs="微软雅黑"/>
          <w:sz w:val="32"/>
          <w:szCs w:val="32"/>
          <w:lang w:val="en-US" w:eastAsia="zh-CN"/>
        </w:rPr>
        <w:t>²</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cs="Times New Roman"/>
          <w:sz w:val="32"/>
          <w:szCs w:val="32"/>
          <w:lang w:val="en-US" w:eastAsia="zh-CN"/>
        </w:rPr>
        <w:t>以上比容。</w:t>
      </w:r>
    </w:p>
    <w:p>
      <w:pPr>
        <w:pStyle w:val="2"/>
        <w:keepNext w:val="0"/>
        <w:keepLines w:val="0"/>
        <w:pageBreakBefore w:val="0"/>
        <w:numPr>
          <w:ilvl w:val="0"/>
          <w:numId w:val="6"/>
        </w:numPr>
        <w:kinsoku/>
        <w:wordWrap/>
        <w:overflowPunct/>
        <w:topLinePunct w:val="0"/>
        <w:autoSpaceDE/>
        <w:autoSpaceDN/>
        <w:bidi w:val="0"/>
        <w:adjustRightInd/>
        <w:spacing w:after="0" w:line="560" w:lineRule="exact"/>
        <w:ind w:left="0" w:leftChars="0"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考核指标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bidi="ar-SA"/>
        </w:rPr>
        <w:t>（</w:t>
      </w:r>
      <w:r>
        <w:rPr>
          <w:rFonts w:hint="eastAsia" w:ascii="Times New Roman" w:hAnsi="Times New Roman" w:eastAsia="仿宋_GB2312" w:cs="Times New Roman"/>
          <w:sz w:val="32"/>
          <w:szCs w:val="32"/>
          <w:lang w:val="en-US" w:eastAsia="zh-CN" w:bidi="ar-SA"/>
        </w:rPr>
        <w:t>1</w:t>
      </w:r>
      <w:r>
        <w:rPr>
          <w:rFonts w:hint="eastAsia" w:cs="Times New Roman"/>
          <w:sz w:val="32"/>
          <w:szCs w:val="32"/>
          <w:lang w:val="en-US" w:eastAsia="zh-CN" w:bidi="ar-SA"/>
        </w:rPr>
        <w:t>）</w:t>
      </w:r>
      <w:r>
        <w:rPr>
          <w:rFonts w:hint="eastAsia" w:ascii="Times New Roman" w:hAnsi="Times New Roman" w:cs="Times New Roman"/>
          <w:sz w:val="32"/>
          <w:szCs w:val="32"/>
          <w:lang w:val="en-US" w:eastAsia="zh-CN"/>
        </w:rPr>
        <w:t>新产品1h水煮时间≤30s,12h水煮时间≤150s;新产品寿命105℃，5000H;640Vf高容电极箔产品容量达到0.66μf/cm</w:t>
      </w:r>
      <w:r>
        <w:rPr>
          <w:rFonts w:hint="eastAsia" w:ascii="微软雅黑" w:hAnsi="微软雅黑" w:eastAsia="微软雅黑" w:cs="微软雅黑"/>
          <w:sz w:val="32"/>
          <w:szCs w:val="32"/>
          <w:lang w:val="en-US" w:eastAsia="zh-CN"/>
        </w:rPr>
        <w:t>²</w:t>
      </w:r>
      <w:r>
        <w:rPr>
          <w:rFonts w:hint="eastAsia" w:ascii="Times New Roman" w:hAnsi="Times New Roman" w:cs="Times New Roman"/>
          <w:sz w:val="32"/>
          <w:szCs w:val="32"/>
          <w:lang w:val="en-US" w:eastAsia="zh-CN"/>
        </w:rPr>
        <w:t>以上比容，660Vf高容电极箔产品容量达到0.62μf/cm</w:t>
      </w:r>
      <w:r>
        <w:rPr>
          <w:rFonts w:hint="eastAsia" w:ascii="微软雅黑" w:hAnsi="微软雅黑" w:eastAsia="微软雅黑" w:cs="微软雅黑"/>
          <w:sz w:val="32"/>
          <w:szCs w:val="32"/>
          <w:lang w:val="en-US" w:eastAsia="zh-CN"/>
        </w:rPr>
        <w:t>²</w:t>
      </w:r>
      <w:r>
        <w:rPr>
          <w:rFonts w:hint="eastAsia" w:ascii="Times New Roman" w:hAnsi="Times New Roman" w:cs="Times New Roman"/>
          <w:sz w:val="32"/>
          <w:szCs w:val="32"/>
          <w:lang w:val="en-US" w:eastAsia="zh-CN"/>
        </w:rPr>
        <w:t>以上比容。</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bidi="ar-SA"/>
        </w:rPr>
        <w:t>（</w:t>
      </w:r>
      <w:r>
        <w:rPr>
          <w:rFonts w:hint="eastAsia" w:ascii="Times New Roman" w:hAnsi="Times New Roman" w:eastAsia="仿宋_GB2312" w:cs="Times New Roman"/>
          <w:sz w:val="32"/>
          <w:szCs w:val="32"/>
          <w:lang w:val="en-US" w:eastAsia="zh-CN" w:bidi="ar-SA"/>
        </w:rPr>
        <w:t>2</w:t>
      </w:r>
      <w:r>
        <w:rPr>
          <w:rFonts w:hint="eastAsia" w:cs="Times New Roman"/>
          <w:sz w:val="32"/>
          <w:szCs w:val="32"/>
          <w:lang w:val="en-US" w:eastAsia="zh-CN" w:bidi="ar-SA"/>
        </w:rPr>
        <w:t>）新产品通过至少2家以上新能源汽车客户供应商认证并实现产业化</w:t>
      </w:r>
      <w:r>
        <w:rPr>
          <w:rFonts w:hint="eastAsia" w:ascii="Times New Roman" w:hAnsi="Times New Roman" w:cs="Times New Roman"/>
          <w:sz w:val="32"/>
          <w:szCs w:val="32"/>
          <w:lang w:val="en-US" w:eastAsia="zh-CN"/>
        </w:rPr>
        <w:t>；向下游新能源汽车客户供应产品≥50万平米；项目完成后销售收入≥3700万元，利税≥400万元</w:t>
      </w:r>
      <w:r>
        <w:rPr>
          <w:rFonts w:hint="eastAsia" w:cs="Times New Roman"/>
          <w:sz w:val="32"/>
          <w:szCs w:val="32"/>
          <w:lang w:val="en-US"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rPr>
        <w:t>（</w:t>
      </w:r>
      <w:r>
        <w:rPr>
          <w:rFonts w:hint="eastAsia" w:ascii="Times New Roman" w:hAnsi="Times New Roman" w:cs="Times New Roman"/>
          <w:sz w:val="32"/>
          <w:szCs w:val="32"/>
          <w:lang w:val="en-US" w:eastAsia="zh-CN"/>
        </w:rPr>
        <w:t>3</w:t>
      </w:r>
      <w:r>
        <w:rPr>
          <w:rFonts w:hint="eastAsia" w:cs="Times New Roman"/>
          <w:sz w:val="32"/>
          <w:szCs w:val="32"/>
          <w:lang w:val="en-US" w:eastAsia="zh-CN"/>
        </w:rPr>
        <w:t>）</w:t>
      </w:r>
      <w:r>
        <w:rPr>
          <w:rFonts w:hint="eastAsia" w:ascii="Times New Roman" w:hAnsi="Times New Roman" w:cs="Times New Roman"/>
          <w:sz w:val="32"/>
          <w:szCs w:val="32"/>
          <w:lang w:val="en-US" w:eastAsia="zh-CN"/>
        </w:rPr>
        <w:t>申请专利4件，其中2件发明专利、2件实用新型专利。</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（4）发表科技论文5篇，其中核心期刊论文2篇。</w:t>
      </w:r>
    </w:p>
    <w:p>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cs="Times New Roman"/>
          <w:sz w:val="32"/>
          <w:szCs w:val="32"/>
          <w:lang w:val="en-US" w:eastAsia="zh-CN"/>
        </w:rPr>
      </w:pPr>
      <w:r>
        <w:rPr>
          <w:rFonts w:hint="eastAsia" w:cs="Times New Roman"/>
          <w:sz w:val="32"/>
          <w:szCs w:val="32"/>
          <w:lang w:val="en-US" w:eastAsia="zh-CN"/>
        </w:rPr>
        <w:t>（5）</w:t>
      </w:r>
      <w:r>
        <w:rPr>
          <w:rFonts w:hint="eastAsia" w:ascii="Times New Roman" w:hAnsi="Times New Roman" w:cs="Times New Roman"/>
          <w:sz w:val="32"/>
          <w:szCs w:val="32"/>
          <w:lang w:val="en-US" w:eastAsia="zh-CN"/>
        </w:rPr>
        <w:t>培养技术人员10人，2名副高</w:t>
      </w:r>
      <w:r>
        <w:rPr>
          <w:rFonts w:hint="eastAsia" w:cs="Times New Roman"/>
          <w:sz w:val="32"/>
          <w:szCs w:val="32"/>
          <w:lang w:val="en-US" w:eastAsia="zh-CN"/>
        </w:rPr>
        <w:t>级工程师</w:t>
      </w:r>
      <w:r>
        <w:rPr>
          <w:rFonts w:hint="eastAsia" w:ascii="Times New Roman" w:hAnsi="Times New Roman" w:cs="Times New Roman"/>
          <w:sz w:val="32"/>
          <w:szCs w:val="32"/>
          <w:lang w:val="en-US" w:eastAsia="zh-CN"/>
        </w:rPr>
        <w:t>、5名中级</w:t>
      </w:r>
      <w:r>
        <w:rPr>
          <w:rFonts w:hint="eastAsia" w:cs="Times New Roman"/>
          <w:sz w:val="32"/>
          <w:szCs w:val="32"/>
          <w:lang w:val="en-US" w:eastAsia="zh-CN"/>
        </w:rPr>
        <w:t>工程师</w:t>
      </w:r>
      <w:r>
        <w:rPr>
          <w:rFonts w:hint="eastAsia" w:ascii="Times New Roman" w:hAnsi="Times New Roman" w:cs="Times New Roman"/>
          <w:sz w:val="32"/>
          <w:szCs w:val="32"/>
          <w:lang w:val="en-US" w:eastAsia="zh-CN"/>
        </w:rPr>
        <w:t>、3名硕士</w:t>
      </w:r>
      <w:r>
        <w:rPr>
          <w:rFonts w:hint="eastAsia" w:cs="Times New Roman"/>
          <w:sz w:val="32"/>
          <w:szCs w:val="32"/>
          <w:lang w:val="en-US" w:eastAsia="zh-CN"/>
        </w:rPr>
        <w:t>研究生</w:t>
      </w:r>
      <w:r>
        <w:rPr>
          <w:rFonts w:hint="eastAsia" w:ascii="Times New Roman" w:hAnsi="Times New Roman" w:cs="Times New Roman"/>
          <w:sz w:val="32"/>
          <w:szCs w:val="32"/>
          <w:lang w:val="en-US" w:eastAsia="zh-CN"/>
        </w:rPr>
        <w:t>。</w:t>
      </w:r>
    </w:p>
    <w:p>
      <w:pPr>
        <w:pageBreakBefore w:val="0"/>
        <w:kinsoku/>
        <w:wordWrap/>
        <w:overflowPunct/>
        <w:topLinePunct w:val="0"/>
        <w:autoSpaceDE/>
        <w:autoSpaceDN/>
        <w:bidi w:val="0"/>
        <w:ind w:firstLine="640"/>
        <w:textAlignment w:val="auto"/>
        <w:outlineLvl w:val="0"/>
        <w:rPr>
          <w:rFonts w:hint="default" w:ascii="Times New Roman" w:hAnsi="Times New Roman" w:eastAsia="黑体" w:cs="Times New Roman"/>
          <w:color w:val="000000"/>
          <w:szCs w:val="32"/>
        </w:rPr>
      </w:pPr>
      <w:r>
        <w:rPr>
          <w:rFonts w:hint="default" w:ascii="Times New Roman" w:hAnsi="Times New Roman" w:eastAsia="黑体" w:cs="Times New Roman"/>
          <w:color w:val="000000"/>
          <w:szCs w:val="32"/>
        </w:rPr>
        <w:t>二、申报要求</w:t>
      </w:r>
    </w:p>
    <w:p>
      <w:pPr>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（一）重大科技项目</w:t>
      </w:r>
      <w:r>
        <w:rPr>
          <w:rFonts w:hint="eastAsia" w:cs="Times New Roman"/>
          <w:color w:val="auto"/>
          <w:sz w:val="32"/>
          <w:szCs w:val="32"/>
          <w:lang w:val="en-US" w:eastAsia="zh-CN"/>
        </w:rPr>
        <w:t>重点</w:t>
      </w:r>
      <w:r>
        <w:rPr>
          <w:rFonts w:hint="default" w:ascii="Times New Roman" w:hAnsi="Times New Roman" w:eastAsia="仿宋_GB2312" w:cs="Times New Roman"/>
          <w:color w:val="auto"/>
          <w:sz w:val="32"/>
          <w:szCs w:val="32"/>
        </w:rPr>
        <w:t>贯彻落实</w:t>
      </w:r>
      <w:r>
        <w:rPr>
          <w:rFonts w:hint="default" w:ascii="Times New Roman" w:hAnsi="Times New Roman" w:eastAsia="仿宋_GB2312" w:cs="Times New Roman"/>
          <w:color w:val="auto"/>
          <w:sz w:val="32"/>
          <w:szCs w:val="32"/>
          <w:lang w:eastAsia="zh-CN"/>
        </w:rPr>
        <w:t>师市</w:t>
      </w:r>
      <w:r>
        <w:rPr>
          <w:rFonts w:hint="default" w:ascii="Times New Roman" w:hAnsi="Times New Roman" w:eastAsia="仿宋_GB2312" w:cs="Times New Roman"/>
          <w:color w:val="auto"/>
          <w:sz w:val="32"/>
          <w:szCs w:val="32"/>
        </w:rPr>
        <w:t>党委决策部署和中心工作，按照</w:t>
      </w:r>
      <w:r>
        <w:rPr>
          <w:rFonts w:hint="default" w:ascii="Times New Roman" w:hAnsi="Times New Roman" w:eastAsia="仿宋_GB2312" w:cs="Times New Roman"/>
          <w:color w:val="auto"/>
          <w:sz w:val="32"/>
          <w:szCs w:val="32"/>
          <w:lang w:eastAsia="zh-CN"/>
        </w:rPr>
        <w:t>师市</w:t>
      </w:r>
      <w:r>
        <w:rPr>
          <w:rFonts w:hint="default" w:ascii="Times New Roman" w:hAnsi="Times New Roman" w:eastAsia="仿宋_GB2312" w:cs="Times New Roman"/>
          <w:color w:val="auto"/>
          <w:sz w:val="32"/>
          <w:szCs w:val="32"/>
        </w:rPr>
        <w:t>党委创新驱动发展战略</w:t>
      </w:r>
      <w:r>
        <w:rPr>
          <w:rFonts w:hint="default" w:ascii="Times New Roman" w:hAnsi="Times New Roman" w:eastAsia="仿宋_GB2312" w:cs="Times New Roman"/>
          <w:color w:val="auto"/>
          <w:sz w:val="32"/>
          <w:szCs w:val="32"/>
          <w:lang w:eastAsia="zh-CN"/>
        </w:rPr>
        <w:t>、自创区及农业科技园区、创新型县市等发展建设</w:t>
      </w:r>
      <w:r>
        <w:rPr>
          <w:rFonts w:hint="default" w:ascii="Times New Roman" w:hAnsi="Times New Roman" w:eastAsia="仿宋_GB2312" w:cs="Times New Roman"/>
          <w:color w:val="auto"/>
          <w:sz w:val="32"/>
          <w:szCs w:val="32"/>
        </w:rPr>
        <w:t>目标要求，</w:t>
      </w:r>
      <w:r>
        <w:rPr>
          <w:rFonts w:hint="default" w:ascii="Times New Roman" w:hAnsi="Times New Roman" w:eastAsia="仿宋_GB2312" w:cs="Times New Roman"/>
          <w:color w:val="auto"/>
          <w:sz w:val="32"/>
          <w:szCs w:val="32"/>
          <w:lang w:eastAsia="zh-CN"/>
        </w:rPr>
        <w:t>有力</w:t>
      </w:r>
      <w:r>
        <w:rPr>
          <w:rFonts w:hint="default" w:ascii="Times New Roman" w:hAnsi="Times New Roman" w:eastAsia="仿宋_GB2312" w:cs="Times New Roman"/>
          <w:color w:val="auto"/>
          <w:sz w:val="32"/>
          <w:szCs w:val="32"/>
        </w:rPr>
        <w:t>推进实施</w:t>
      </w:r>
      <w:r>
        <w:rPr>
          <w:rFonts w:hint="default" w:ascii="Times New Roman" w:hAnsi="Times New Roman" w:eastAsia="仿宋_GB2312" w:cs="Times New Roman"/>
          <w:color w:val="auto"/>
          <w:sz w:val="32"/>
          <w:szCs w:val="32"/>
          <w:lang w:eastAsia="zh-CN"/>
        </w:rPr>
        <w:t>师市</w:t>
      </w:r>
      <w:r>
        <w:rPr>
          <w:rFonts w:hint="eastAsia" w:cs="Times New Roman"/>
          <w:color w:val="auto"/>
          <w:sz w:val="32"/>
          <w:szCs w:val="32"/>
          <w:lang w:val="en-US" w:eastAsia="zh-CN"/>
        </w:rPr>
        <w:t>北疆区域创新</w:t>
      </w:r>
      <w:r>
        <w:rPr>
          <w:rFonts w:hint="default" w:ascii="Times New Roman" w:hAnsi="Times New Roman" w:eastAsia="仿宋_GB2312" w:cs="Times New Roman"/>
          <w:color w:val="auto"/>
          <w:sz w:val="32"/>
          <w:szCs w:val="32"/>
          <w:lang w:eastAsia="zh-CN"/>
        </w:rPr>
        <w:t>中心建设</w:t>
      </w:r>
      <w:r>
        <w:rPr>
          <w:rFonts w:hint="default" w:ascii="Times New Roman" w:hAnsi="Times New Roman" w:eastAsia="仿宋_GB2312" w:cs="Times New Roman"/>
          <w:color w:val="auto"/>
          <w:sz w:val="32"/>
          <w:szCs w:val="32"/>
        </w:rPr>
        <w:t>，推动产业结构调整和转型升级、加快培育和壮大战略性新兴产业、注重改造提升优势传统产业，着力解决制约</w:t>
      </w:r>
      <w:r>
        <w:rPr>
          <w:rFonts w:hint="default" w:ascii="Times New Roman" w:hAnsi="Times New Roman" w:eastAsia="仿宋_GB2312" w:cs="Times New Roman"/>
          <w:color w:val="auto"/>
          <w:sz w:val="32"/>
          <w:szCs w:val="32"/>
          <w:lang w:eastAsia="zh-CN"/>
        </w:rPr>
        <w:t>师市</w:t>
      </w:r>
      <w:r>
        <w:rPr>
          <w:rFonts w:hint="default" w:ascii="Times New Roman" w:hAnsi="Times New Roman" w:eastAsia="仿宋_GB2312" w:cs="Times New Roman"/>
          <w:color w:val="auto"/>
          <w:sz w:val="32"/>
          <w:szCs w:val="32"/>
        </w:rPr>
        <w:t>经济社会发展的重大瓶颈问题。</w:t>
      </w:r>
    </w:p>
    <w:p>
      <w:pPr>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w:t>
      </w:r>
      <w:r>
        <w:rPr>
          <w:rFonts w:hint="eastAsia" w:cs="Times New Roman"/>
          <w:color w:val="auto"/>
          <w:sz w:val="32"/>
          <w:szCs w:val="32"/>
          <w:lang w:val="en-US" w:eastAsia="zh-CN"/>
        </w:rPr>
        <w:t>二</w:t>
      </w:r>
      <w:r>
        <w:rPr>
          <w:rFonts w:hint="default" w:ascii="Times New Roman" w:hAnsi="Times New Roman" w:eastAsia="仿宋_GB2312" w:cs="Times New Roman"/>
          <w:color w:val="auto"/>
          <w:sz w:val="32"/>
          <w:szCs w:val="32"/>
        </w:rPr>
        <w:t>）重大科技项目</w:t>
      </w:r>
      <w:r>
        <w:rPr>
          <w:rFonts w:hint="eastAsia" w:ascii="Times New Roman" w:hAnsi="Times New Roman" w:cs="Times New Roman"/>
          <w:color w:val="auto"/>
          <w:sz w:val="32"/>
          <w:szCs w:val="32"/>
          <w:lang w:val="en-US" w:eastAsia="zh-CN"/>
        </w:rPr>
        <w:t>原则上应</w:t>
      </w:r>
      <w:r>
        <w:rPr>
          <w:rFonts w:hint="default" w:ascii="Times New Roman" w:hAnsi="Times New Roman" w:eastAsia="仿宋_GB2312" w:cs="Times New Roman"/>
          <w:color w:val="auto"/>
          <w:sz w:val="32"/>
          <w:szCs w:val="32"/>
        </w:rPr>
        <w:t>由</w:t>
      </w:r>
      <w:r>
        <w:rPr>
          <w:rFonts w:hint="default" w:ascii="Times New Roman" w:hAnsi="Times New Roman" w:eastAsia="仿宋_GB2312" w:cs="Times New Roman"/>
          <w:color w:val="auto"/>
          <w:sz w:val="32"/>
          <w:szCs w:val="32"/>
          <w:lang w:eastAsia="zh-CN"/>
        </w:rPr>
        <w:t>师市</w:t>
      </w:r>
      <w:r>
        <w:rPr>
          <w:rFonts w:hint="default" w:ascii="Times New Roman" w:hAnsi="Times New Roman" w:eastAsia="仿宋_GB2312" w:cs="Times New Roman"/>
          <w:color w:val="auto"/>
          <w:sz w:val="32"/>
          <w:szCs w:val="32"/>
        </w:rPr>
        <w:t>企业</w:t>
      </w:r>
      <w:r>
        <w:rPr>
          <w:rFonts w:hint="default" w:ascii="Times New Roman" w:hAnsi="Times New Roman" w:eastAsia="仿宋_GB2312" w:cs="Times New Roman"/>
          <w:color w:val="auto"/>
          <w:sz w:val="32"/>
          <w:szCs w:val="32"/>
          <w:lang w:eastAsia="zh-CN"/>
        </w:rPr>
        <w:t>牵头，与本地及</w:t>
      </w:r>
      <w:r>
        <w:rPr>
          <w:rFonts w:hint="default" w:ascii="Times New Roman" w:hAnsi="Times New Roman" w:eastAsia="仿宋_GB2312" w:cs="Times New Roman"/>
          <w:color w:val="auto"/>
          <w:sz w:val="32"/>
          <w:szCs w:val="32"/>
        </w:rPr>
        <w:t>兵团</w:t>
      </w:r>
      <w:r>
        <w:rPr>
          <w:rFonts w:hint="default" w:ascii="Times New Roman" w:hAnsi="Times New Roman" w:eastAsia="仿宋_GB2312" w:cs="Times New Roman"/>
          <w:color w:val="auto"/>
          <w:sz w:val="32"/>
          <w:szCs w:val="32"/>
          <w:lang w:eastAsia="zh-CN"/>
        </w:rPr>
        <w:t>、兵团</w:t>
      </w:r>
      <w:r>
        <w:rPr>
          <w:rFonts w:hint="default" w:ascii="Times New Roman" w:hAnsi="Times New Roman" w:eastAsia="仿宋_GB2312" w:cs="Times New Roman"/>
          <w:color w:val="auto"/>
          <w:sz w:val="32"/>
          <w:szCs w:val="32"/>
        </w:rPr>
        <w:t>外科研院所、高校</w:t>
      </w:r>
      <w:r>
        <w:rPr>
          <w:rFonts w:hint="default" w:ascii="Times New Roman" w:hAnsi="Times New Roman" w:eastAsia="仿宋_GB2312" w:cs="Times New Roman"/>
          <w:color w:val="auto"/>
          <w:sz w:val="32"/>
          <w:szCs w:val="32"/>
          <w:lang w:eastAsia="zh-CN"/>
        </w:rPr>
        <w:t>等优</w:t>
      </w:r>
      <w:r>
        <w:rPr>
          <w:rFonts w:hint="default" w:ascii="Times New Roman" w:hAnsi="Times New Roman" w:eastAsia="仿宋_GB2312" w:cs="Times New Roman"/>
          <w:color w:val="auto"/>
          <w:sz w:val="32"/>
          <w:szCs w:val="32"/>
        </w:rPr>
        <w:t>势科研团队</w:t>
      </w:r>
      <w:r>
        <w:rPr>
          <w:rFonts w:hint="default" w:ascii="Times New Roman" w:hAnsi="Times New Roman" w:eastAsia="仿宋_GB2312" w:cs="Times New Roman"/>
          <w:color w:val="auto"/>
          <w:sz w:val="32"/>
          <w:szCs w:val="32"/>
          <w:lang w:eastAsia="zh-CN"/>
        </w:rPr>
        <w:t>、合作社等农业生产组织或产业化龙头企业</w:t>
      </w:r>
      <w:r>
        <w:rPr>
          <w:rFonts w:hint="default" w:ascii="Times New Roman" w:hAnsi="Times New Roman" w:eastAsia="仿宋_GB2312" w:cs="Times New Roman"/>
          <w:color w:val="auto"/>
          <w:sz w:val="32"/>
          <w:szCs w:val="32"/>
        </w:rPr>
        <w:t>以产学研</w:t>
      </w:r>
      <w:r>
        <w:rPr>
          <w:rFonts w:hint="default" w:ascii="Times New Roman" w:hAnsi="Times New Roman" w:eastAsia="仿宋_GB2312" w:cs="Times New Roman"/>
          <w:color w:val="auto"/>
          <w:sz w:val="32"/>
          <w:szCs w:val="32"/>
          <w:lang w:eastAsia="zh-CN"/>
        </w:rPr>
        <w:t>用</w:t>
      </w:r>
      <w:r>
        <w:rPr>
          <w:rFonts w:hint="default" w:ascii="Times New Roman" w:hAnsi="Times New Roman" w:eastAsia="仿宋_GB2312" w:cs="Times New Roman"/>
          <w:color w:val="auto"/>
          <w:sz w:val="32"/>
          <w:szCs w:val="32"/>
        </w:rPr>
        <w:t>联合方式申报。优先支持行业部门推荐的项目。项目申报主体</w:t>
      </w:r>
      <w:r>
        <w:rPr>
          <w:rFonts w:hint="default" w:ascii="Times New Roman" w:hAnsi="Times New Roman" w:eastAsia="仿宋_GB2312" w:cs="Times New Roman"/>
          <w:color w:val="auto"/>
          <w:sz w:val="32"/>
          <w:szCs w:val="32"/>
          <w:lang w:eastAsia="zh-CN"/>
        </w:rPr>
        <w:t>及参与单位应具有</w:t>
      </w:r>
      <w:r>
        <w:rPr>
          <w:rFonts w:hint="default" w:ascii="Times New Roman" w:hAnsi="Times New Roman" w:eastAsia="仿宋_GB2312" w:cs="Times New Roman"/>
          <w:color w:val="auto"/>
          <w:sz w:val="32"/>
          <w:szCs w:val="32"/>
        </w:rPr>
        <w:t>稳定的创新团队</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color w:val="auto"/>
          <w:sz w:val="32"/>
          <w:szCs w:val="32"/>
        </w:rPr>
        <w:t>较强研发实力，在创新投入、研发管理、市场推广、科研团队建设等方面具备良好基础和较强优势；申报单位</w:t>
      </w:r>
      <w:r>
        <w:rPr>
          <w:rFonts w:hint="default" w:ascii="Times New Roman" w:hAnsi="Times New Roman" w:eastAsia="仿宋_GB2312" w:cs="Times New Roman"/>
          <w:color w:val="auto"/>
          <w:sz w:val="32"/>
          <w:szCs w:val="32"/>
          <w:lang w:eastAsia="zh-CN"/>
        </w:rPr>
        <w:t>须为</w:t>
      </w:r>
      <w:r>
        <w:rPr>
          <w:rFonts w:hint="default" w:ascii="Times New Roman" w:hAnsi="Times New Roman" w:eastAsia="仿宋_GB2312" w:cs="Times New Roman"/>
          <w:color w:val="auto"/>
          <w:sz w:val="32"/>
          <w:szCs w:val="32"/>
        </w:rPr>
        <w:t>企业性质</w:t>
      </w:r>
      <w:r>
        <w:rPr>
          <w:rFonts w:hint="eastAsia" w:cs="Times New Roman"/>
          <w:color w:val="auto"/>
          <w:sz w:val="32"/>
          <w:szCs w:val="32"/>
          <w:lang w:eastAsia="zh-CN"/>
        </w:rPr>
        <w:t>，</w:t>
      </w:r>
      <w:r>
        <w:rPr>
          <w:rFonts w:hint="eastAsia" w:cs="Times New Roman"/>
          <w:color w:val="auto"/>
          <w:sz w:val="32"/>
          <w:szCs w:val="32"/>
          <w:lang w:val="en-US" w:eastAsia="zh-CN"/>
        </w:rPr>
        <w:t>近2年无亏损且平均研发投入不低于150万元/年</w:t>
      </w:r>
      <w:r>
        <w:rPr>
          <w:rFonts w:hint="default" w:ascii="Times New Roman" w:hAnsi="Times New Roman" w:eastAsia="仿宋_GB2312" w:cs="Times New Roman"/>
          <w:color w:val="auto"/>
          <w:sz w:val="32"/>
          <w:szCs w:val="32"/>
        </w:rPr>
        <w:t>，要求资产规模能够确保项目顺利实施，申报材料中需提供20</w:t>
      </w:r>
      <w:r>
        <w:rPr>
          <w:rFonts w:hint="default" w:ascii="Times New Roman" w:hAnsi="Times New Roman" w:cs="Times New Roman"/>
          <w:color w:val="auto"/>
          <w:sz w:val="32"/>
          <w:szCs w:val="32"/>
          <w:lang w:val="en-US" w:eastAsia="zh-CN"/>
        </w:rPr>
        <w:t>2</w:t>
      </w:r>
      <w:r>
        <w:rPr>
          <w:rFonts w:hint="eastAsia" w:cs="Times New Roman"/>
          <w:color w:val="auto"/>
          <w:sz w:val="32"/>
          <w:szCs w:val="32"/>
          <w:lang w:val="en-US" w:eastAsia="zh-CN"/>
        </w:rPr>
        <w:t>2</w:t>
      </w:r>
      <w:r>
        <w:rPr>
          <w:rFonts w:hint="default" w:ascii="Times New Roman" w:hAnsi="Times New Roman" w:eastAsia="仿宋_GB2312" w:cs="Times New Roman"/>
          <w:color w:val="auto"/>
          <w:sz w:val="32"/>
          <w:szCs w:val="32"/>
        </w:rPr>
        <w:t>、202</w:t>
      </w:r>
      <w:r>
        <w:rPr>
          <w:rFonts w:hint="eastAsia" w:cs="Times New Roman"/>
          <w:color w:val="auto"/>
          <w:sz w:val="32"/>
          <w:szCs w:val="32"/>
          <w:lang w:val="en-US" w:eastAsia="zh-CN"/>
        </w:rPr>
        <w:t>3</w:t>
      </w:r>
      <w:r>
        <w:rPr>
          <w:rFonts w:hint="default" w:ascii="Times New Roman" w:hAnsi="Times New Roman" w:eastAsia="仿宋_GB2312" w:cs="Times New Roman"/>
          <w:color w:val="auto"/>
          <w:sz w:val="32"/>
          <w:szCs w:val="32"/>
        </w:rPr>
        <w:t>年度财务报表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z w:val="32"/>
          <w:szCs w:val="32"/>
          <w:lang w:eastAsia="zh-CN"/>
        </w:rPr>
        <w:t>申报</w:t>
      </w:r>
      <w:r>
        <w:rPr>
          <w:rFonts w:hint="default" w:ascii="Times New Roman" w:hAnsi="Times New Roman" w:eastAsia="仿宋_GB2312" w:cs="Times New Roman"/>
          <w:color w:val="auto"/>
          <w:sz w:val="32"/>
          <w:szCs w:val="32"/>
        </w:rPr>
        <w:t>单位和项目负责人无不良科研诚信记录</w:t>
      </w:r>
      <w:r>
        <w:rPr>
          <w:rFonts w:hint="eastAsia" w:cs="Times New Roman"/>
          <w:color w:val="auto"/>
          <w:sz w:val="32"/>
          <w:szCs w:val="32"/>
          <w:lang w:eastAsia="zh-CN"/>
        </w:rPr>
        <w:t>，</w:t>
      </w:r>
      <w:r>
        <w:rPr>
          <w:rFonts w:hint="default" w:ascii="Times New Roman" w:hAnsi="Times New Roman" w:cs="Times New Roman"/>
          <w:color w:val="auto"/>
          <w:sz w:val="32"/>
          <w:szCs w:val="32"/>
          <w:lang w:val="en-US" w:eastAsia="zh-CN"/>
        </w:rPr>
        <w:t>近2年未出现</w:t>
      </w:r>
      <w:r>
        <w:rPr>
          <w:rFonts w:hint="eastAsia" w:cs="Times New Roman"/>
          <w:color w:val="auto"/>
          <w:sz w:val="32"/>
          <w:szCs w:val="32"/>
          <w:lang w:val="en-US" w:eastAsia="zh-CN"/>
        </w:rPr>
        <w:t>项目延期、</w:t>
      </w:r>
      <w:r>
        <w:rPr>
          <w:rFonts w:hint="default" w:ascii="Times New Roman" w:hAnsi="Times New Roman" w:cs="Times New Roman"/>
          <w:color w:val="auto"/>
          <w:sz w:val="32"/>
          <w:szCs w:val="32"/>
          <w:lang w:val="en-US" w:eastAsia="zh-CN"/>
        </w:rPr>
        <w:t>应验未验或验收不通过</w:t>
      </w:r>
      <w:r>
        <w:rPr>
          <w:rFonts w:hint="default" w:ascii="Times New Roman" w:hAnsi="Times New Roman" w:eastAsia="仿宋_GB2312" w:cs="Times New Roman"/>
          <w:color w:val="auto"/>
          <w:sz w:val="32"/>
          <w:szCs w:val="32"/>
        </w:rPr>
        <w:t>。</w:t>
      </w:r>
    </w:p>
    <w:p>
      <w:pPr>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w:t>
      </w:r>
      <w:r>
        <w:rPr>
          <w:rFonts w:hint="eastAsia" w:cs="Times New Roman"/>
          <w:color w:val="auto"/>
          <w:sz w:val="32"/>
          <w:szCs w:val="32"/>
          <w:lang w:val="en-US" w:eastAsia="zh-CN"/>
        </w:rPr>
        <w:t>三</w:t>
      </w:r>
      <w:r>
        <w:rPr>
          <w:rFonts w:hint="default" w:ascii="Times New Roman" w:hAnsi="Times New Roman" w:eastAsia="仿宋_GB2312" w:cs="Times New Roman"/>
          <w:color w:val="auto"/>
          <w:sz w:val="32"/>
          <w:szCs w:val="32"/>
        </w:rPr>
        <w:t>）项目须整体申报</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rPr>
        <w:t>覆盖全部考核指标。项目实施期限原则上不超过</w:t>
      </w:r>
      <w:r>
        <w:rPr>
          <w:rFonts w:hint="eastAsia" w:cs="Times New Roman"/>
          <w:color w:val="auto"/>
          <w:sz w:val="32"/>
          <w:szCs w:val="32"/>
          <w:lang w:val="en-US" w:eastAsia="zh-CN"/>
        </w:rPr>
        <w:t>5</w:t>
      </w:r>
      <w:r>
        <w:rPr>
          <w:rFonts w:hint="default" w:ascii="Times New Roman" w:hAnsi="Times New Roman" w:cs="Times New Roman"/>
          <w:color w:val="auto"/>
          <w:sz w:val="32"/>
          <w:szCs w:val="32"/>
          <w:lang w:val="en-US" w:eastAsia="zh-CN"/>
        </w:rPr>
        <w:t>年</w:t>
      </w:r>
      <w:r>
        <w:rPr>
          <w:rFonts w:hint="default" w:ascii="Times New Roman" w:hAnsi="Times New Roman" w:eastAsia="仿宋_GB2312" w:cs="Times New Roman"/>
          <w:color w:val="auto"/>
          <w:sz w:val="32"/>
          <w:szCs w:val="32"/>
        </w:rPr>
        <w:t>，起始年度为</w:t>
      </w:r>
      <w:r>
        <w:rPr>
          <w:rFonts w:hint="eastAsia" w:cs="Times New Roman"/>
          <w:color w:val="auto"/>
          <w:sz w:val="32"/>
          <w:szCs w:val="32"/>
          <w:lang w:eastAsia="zh-CN"/>
        </w:rPr>
        <w:t>2024年</w:t>
      </w:r>
      <w:r>
        <w:rPr>
          <w:rFonts w:hint="default" w:ascii="Times New Roman" w:hAnsi="Times New Roman" w:eastAsia="仿宋_GB2312" w:cs="Times New Roman"/>
          <w:color w:val="auto"/>
          <w:sz w:val="32"/>
          <w:szCs w:val="32"/>
        </w:rPr>
        <w:t>。参与单位</w:t>
      </w:r>
      <w:r>
        <w:rPr>
          <w:rFonts w:hint="default" w:ascii="Times New Roman" w:hAnsi="Times New Roman" w:cs="Times New Roman"/>
          <w:color w:val="auto"/>
          <w:sz w:val="32"/>
          <w:szCs w:val="32"/>
          <w:lang w:val="en-US" w:eastAsia="zh-CN"/>
        </w:rPr>
        <w:t>总数</w:t>
      </w:r>
      <w:r>
        <w:rPr>
          <w:rFonts w:hint="default" w:ascii="Times New Roman" w:hAnsi="Times New Roman" w:eastAsia="仿宋_GB2312" w:cs="Times New Roman"/>
          <w:color w:val="auto"/>
          <w:sz w:val="32"/>
          <w:szCs w:val="32"/>
        </w:rPr>
        <w:t>不超过</w:t>
      </w:r>
      <w:r>
        <w:rPr>
          <w:rFonts w:hint="default" w:ascii="Times New Roman" w:hAnsi="Times New Roman" w:cs="Times New Roman"/>
          <w:color w:val="auto"/>
          <w:sz w:val="32"/>
          <w:szCs w:val="32"/>
          <w:lang w:val="en-US" w:eastAsia="zh-CN"/>
        </w:rPr>
        <w:t>12</w:t>
      </w:r>
      <w:r>
        <w:rPr>
          <w:rFonts w:hint="default" w:ascii="Times New Roman" w:hAnsi="Times New Roman" w:eastAsia="仿宋_GB2312" w:cs="Times New Roman"/>
          <w:color w:val="auto"/>
          <w:sz w:val="32"/>
          <w:szCs w:val="32"/>
        </w:rPr>
        <w:t>家（含</w:t>
      </w:r>
      <w:r>
        <w:rPr>
          <w:rFonts w:hint="default" w:ascii="Times New Roman" w:hAnsi="Times New Roman" w:eastAsia="仿宋_GB2312" w:cs="Times New Roman"/>
          <w:color w:val="auto"/>
          <w:sz w:val="32"/>
          <w:szCs w:val="32"/>
          <w:lang w:eastAsia="zh-CN"/>
        </w:rPr>
        <w:t>申报</w:t>
      </w:r>
      <w:r>
        <w:rPr>
          <w:rFonts w:hint="default" w:ascii="Times New Roman" w:hAnsi="Times New Roman" w:eastAsia="仿宋_GB2312" w:cs="Times New Roman"/>
          <w:color w:val="auto"/>
          <w:sz w:val="32"/>
          <w:szCs w:val="32"/>
        </w:rPr>
        <w:t>单位）。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w:t>
      </w:r>
      <w:r>
        <w:rPr>
          <w:rFonts w:hint="eastAsia" w:cs="Times New Roman"/>
          <w:color w:val="auto"/>
          <w:sz w:val="32"/>
          <w:szCs w:val="32"/>
          <w:lang w:val="en-US" w:eastAsia="zh-CN"/>
        </w:rPr>
        <w:t>四</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提出申报要求的企业须在202</w:t>
      </w:r>
      <w:r>
        <w:rPr>
          <w:rFonts w:hint="eastAsia"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年1月1日之前注册成立。</w:t>
      </w:r>
      <w:r>
        <w:rPr>
          <w:rFonts w:hint="default" w:ascii="Times New Roman" w:hAnsi="Times New Roman" w:eastAsia="仿宋_GB2312" w:cs="Times New Roman"/>
          <w:b w:val="0"/>
          <w:bCs w:val="0"/>
          <w:color w:val="auto"/>
          <w:sz w:val="32"/>
          <w:szCs w:val="32"/>
          <w:lang w:val="en-US" w:eastAsia="zh-CN"/>
        </w:rPr>
        <w:t>申报企业注册资金规模在3000万元以上。</w:t>
      </w:r>
      <w:r>
        <w:rPr>
          <w:rFonts w:hint="default" w:ascii="Times New Roman" w:hAnsi="Times New Roman" w:eastAsia="仿宋_GB2312" w:cs="Times New Roman"/>
          <w:color w:val="auto"/>
          <w:sz w:val="32"/>
          <w:szCs w:val="32"/>
          <w:lang w:val="en-US" w:eastAsia="zh-CN"/>
        </w:rPr>
        <w:t>同一项目负责人只能承担一个师市项目。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color w:val="auto"/>
          <w:sz w:val="32"/>
          <w:szCs w:val="32"/>
          <w:lang w:val="en-US" w:eastAsia="zh-CN"/>
        </w:rPr>
        <w:t>（</w:t>
      </w:r>
      <w:r>
        <w:rPr>
          <w:rFonts w:hint="eastAsia" w:cs="Times New Roman"/>
          <w:color w:val="auto"/>
          <w:sz w:val="32"/>
          <w:szCs w:val="32"/>
          <w:lang w:val="en-US" w:eastAsia="zh-CN"/>
        </w:rPr>
        <w:t>五</w:t>
      </w:r>
      <w:r>
        <w:rPr>
          <w:rFonts w:hint="default" w:ascii="Times New Roman" w:hAnsi="Times New Roman"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凡在项目组织实施过程中形成的科技成果进行技术交易活动，需签订技术交易合同，并及时进行登记。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lang w:val="en-US"/>
        </w:rPr>
      </w:pPr>
      <w:r>
        <w:rPr>
          <w:rFonts w:hint="eastAsia" w:cs="Times New Roman"/>
          <w:color w:val="auto"/>
          <w:sz w:val="32"/>
          <w:szCs w:val="32"/>
          <w:lang w:val="en-US" w:eastAsia="zh-CN"/>
        </w:rPr>
        <w:t>（六）项目形成的主要技术规程在项目期内及验收后12个月内，必须以适当形式向师市相关产业链主要</w:t>
      </w:r>
      <w:bookmarkStart w:id="0" w:name="_GoBack"/>
      <w:bookmarkEnd w:id="0"/>
      <w:r>
        <w:rPr>
          <w:rFonts w:hint="eastAsia" w:cs="Times New Roman"/>
          <w:color w:val="auto"/>
          <w:sz w:val="32"/>
          <w:szCs w:val="32"/>
          <w:lang w:val="en-US" w:eastAsia="zh-CN"/>
        </w:rPr>
        <w:t>企业或产业技术联盟等产业组织完整公开。</w:t>
      </w:r>
    </w:p>
    <w:p>
      <w:pPr>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w:t>
      </w:r>
      <w:r>
        <w:rPr>
          <w:rFonts w:hint="eastAsia" w:cs="Times New Roman"/>
          <w:color w:val="auto"/>
          <w:sz w:val="32"/>
          <w:szCs w:val="32"/>
          <w:lang w:val="en-US" w:eastAsia="zh-CN"/>
        </w:rPr>
        <w:t>七</w:t>
      </w:r>
      <w:r>
        <w:rPr>
          <w:rFonts w:hint="default" w:ascii="Times New Roman" w:hAnsi="Times New Roman" w:eastAsia="仿宋_GB2312" w:cs="Times New Roman"/>
          <w:color w:val="auto"/>
          <w:sz w:val="32"/>
          <w:szCs w:val="32"/>
        </w:rPr>
        <w:t>）原则上每个项目申请</w:t>
      </w:r>
      <w:r>
        <w:rPr>
          <w:rFonts w:hint="default" w:ascii="Times New Roman" w:hAnsi="Times New Roman" w:eastAsia="仿宋_GB2312" w:cs="Times New Roman"/>
          <w:color w:val="auto"/>
          <w:sz w:val="32"/>
          <w:szCs w:val="32"/>
          <w:lang w:eastAsia="zh-CN"/>
        </w:rPr>
        <w:t>师市</w:t>
      </w:r>
      <w:r>
        <w:rPr>
          <w:rFonts w:hint="default" w:ascii="Times New Roman" w:hAnsi="Times New Roman" w:eastAsia="仿宋_GB2312" w:cs="Times New Roman"/>
          <w:color w:val="auto"/>
          <w:sz w:val="32"/>
          <w:szCs w:val="32"/>
        </w:rPr>
        <w:t>财政资金额度</w:t>
      </w:r>
      <w:r>
        <w:rPr>
          <w:rFonts w:hint="eastAsia" w:cs="Times New Roman"/>
          <w:color w:val="auto"/>
          <w:sz w:val="32"/>
          <w:szCs w:val="32"/>
          <w:lang w:val="en-US" w:eastAsia="zh-CN"/>
        </w:rPr>
        <w:t>不超过150</w:t>
      </w:r>
      <w:r>
        <w:rPr>
          <w:rFonts w:hint="default" w:ascii="Times New Roman" w:hAnsi="Times New Roman" w:eastAsia="仿宋_GB2312" w:cs="Times New Roman"/>
          <w:color w:val="auto"/>
          <w:sz w:val="32"/>
          <w:szCs w:val="32"/>
        </w:rPr>
        <w:t>万元</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rPr>
        <w:t>自筹资金与申请</w:t>
      </w:r>
      <w:r>
        <w:rPr>
          <w:rFonts w:hint="default" w:ascii="Times New Roman" w:hAnsi="Times New Roman" w:eastAsia="仿宋_GB2312" w:cs="Times New Roman"/>
          <w:color w:val="auto"/>
          <w:sz w:val="32"/>
          <w:szCs w:val="32"/>
          <w:lang w:eastAsia="zh-CN"/>
        </w:rPr>
        <w:t>师市</w:t>
      </w:r>
      <w:r>
        <w:rPr>
          <w:rFonts w:hint="default" w:ascii="Times New Roman" w:hAnsi="Times New Roman" w:eastAsia="仿宋_GB2312" w:cs="Times New Roman"/>
          <w:color w:val="auto"/>
          <w:sz w:val="32"/>
          <w:szCs w:val="32"/>
        </w:rPr>
        <w:t>财政资金比例不低于2∶1</w:t>
      </w:r>
      <w:r>
        <w:rPr>
          <w:rFonts w:hint="default" w:ascii="Times New Roman" w:hAnsi="Times New Roman" w:eastAsia="仿宋_GB2312" w:cs="Times New Roman"/>
          <w:color w:val="auto"/>
          <w:sz w:val="32"/>
          <w:szCs w:val="32"/>
          <w:lang w:eastAsia="zh-CN"/>
        </w:rPr>
        <w:t>。</w:t>
      </w:r>
    </w:p>
    <w:p>
      <w:pPr>
        <w:pageBreakBefore w:val="0"/>
        <w:kinsoku/>
        <w:wordWrap/>
        <w:overflowPunct/>
        <w:topLinePunct w:val="0"/>
        <w:autoSpaceDE/>
        <w:autoSpaceDN/>
        <w:bidi w:val="0"/>
        <w:spacing w:line="560" w:lineRule="exact"/>
        <w:ind w:firstLine="640" w:firstLineChars="200"/>
        <w:textAlignment w:val="auto"/>
        <w:rPr>
          <w:rFonts w:hint="default"/>
        </w:rPr>
      </w:pPr>
      <w:r>
        <w:rPr>
          <w:rFonts w:hint="default" w:ascii="Times New Roman" w:hAnsi="Times New Roman" w:eastAsia="仿宋_GB2312" w:cs="Times New Roman"/>
          <w:color w:val="auto"/>
          <w:sz w:val="32"/>
          <w:szCs w:val="32"/>
        </w:rPr>
        <w:t>（</w:t>
      </w:r>
      <w:r>
        <w:rPr>
          <w:rFonts w:hint="eastAsia" w:cs="Times New Roman"/>
          <w:color w:val="auto"/>
          <w:sz w:val="32"/>
          <w:szCs w:val="32"/>
          <w:lang w:val="en-US" w:eastAsia="zh-CN"/>
        </w:rPr>
        <w:t>八</w:t>
      </w:r>
      <w:r>
        <w:rPr>
          <w:rFonts w:hint="default" w:ascii="Times New Roman" w:hAnsi="Times New Roman" w:eastAsia="仿宋_GB2312" w:cs="Times New Roman"/>
          <w:color w:val="auto"/>
          <w:sz w:val="32"/>
          <w:szCs w:val="32"/>
        </w:rPr>
        <w:t>）申报项目需提交半年以内的查新报告及其他相关附件证明材料，详见申报书要求。</w:t>
      </w:r>
    </w:p>
    <w:p>
      <w:pPr>
        <w:pageBreakBefore w:val="0"/>
        <w:widowControl w:val="0"/>
        <w:kinsoku/>
        <w:wordWrap/>
        <w:overflowPunct/>
        <w:topLinePunct w:val="0"/>
        <w:autoSpaceDE/>
        <w:autoSpaceDN/>
        <w:bidi w:val="0"/>
        <w:adjustRightInd/>
        <w:snapToGrid/>
        <w:spacing w:line="550" w:lineRule="exact"/>
        <w:ind w:firstLine="640"/>
        <w:textAlignment w:val="auto"/>
        <w:rPr>
          <w:rFonts w:hint="default" w:ascii="Times New Roman" w:hAnsi="Times New Roman" w:eastAsia="方正小标宋_GBK" w:cs="Times New Roman"/>
          <w:color w:val="000000"/>
          <w:szCs w:val="32"/>
        </w:rPr>
      </w:pPr>
      <w:r>
        <w:rPr>
          <w:rFonts w:hint="default" w:ascii="Times New Roman" w:hAnsi="Times New Roman" w:eastAsia="黑体" w:cs="Times New Roman"/>
          <w:color w:val="000000"/>
          <w:szCs w:val="32"/>
        </w:rPr>
        <w:t>三、联系方式</w:t>
      </w:r>
    </w:p>
    <w:p>
      <w:pPr>
        <w:pStyle w:val="7"/>
        <w:pageBreakBefore w:val="0"/>
        <w:widowControl w:val="0"/>
        <w:kinsoku/>
        <w:wordWrap/>
        <w:overflowPunct/>
        <w:topLinePunct w:val="0"/>
        <w:autoSpaceDE/>
        <w:autoSpaceDN/>
        <w:bidi w:val="0"/>
        <w:adjustRightInd/>
        <w:snapToGrid/>
        <w:spacing w:line="550" w:lineRule="exact"/>
        <w:ind w:firstLine="640"/>
        <w:textAlignment w:val="auto"/>
        <w:rPr>
          <w:rFonts w:hint="default" w:ascii="Times New Roman" w:hAnsi="Times New Roman" w:cs="Times New Roman"/>
          <w:b/>
          <w:bCs/>
          <w:color w:val="000000"/>
          <w:sz w:val="32"/>
          <w:szCs w:val="32"/>
        </w:rPr>
      </w:pPr>
      <w:r>
        <w:rPr>
          <w:rFonts w:hint="default" w:ascii="Times New Roman" w:hAnsi="Times New Roman" w:cs="Times New Roman"/>
          <w:b/>
          <w:bCs/>
          <w:color w:val="000000"/>
          <w:sz w:val="32"/>
          <w:szCs w:val="32"/>
        </w:rPr>
        <w:t>农业与社会发展领域：</w:t>
      </w:r>
    </w:p>
    <w:p>
      <w:pPr>
        <w:pStyle w:val="7"/>
        <w:pageBreakBefore w:val="0"/>
        <w:widowControl w:val="0"/>
        <w:kinsoku/>
        <w:wordWrap/>
        <w:overflowPunct/>
        <w:topLinePunct w:val="0"/>
        <w:autoSpaceDE/>
        <w:autoSpaceDN/>
        <w:bidi w:val="0"/>
        <w:adjustRightInd/>
        <w:snapToGrid/>
        <w:spacing w:line="55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cs="Times New Roman"/>
          <w:color w:val="000000"/>
          <w:sz w:val="32"/>
          <w:szCs w:val="32"/>
        </w:rPr>
        <w:t xml:space="preserve">联 系 人：鲍健 2013261   </w:t>
      </w:r>
      <w:r>
        <w:rPr>
          <w:rFonts w:hint="default" w:ascii="Times New Roman" w:hAnsi="Times New Roman" w:cs="Times New Roman"/>
          <w:color w:val="000000"/>
          <w:sz w:val="32"/>
          <w:szCs w:val="32"/>
          <w:lang w:val="en-US" w:eastAsia="zh-CN"/>
        </w:rPr>
        <w:t>郭新堂</w:t>
      </w:r>
      <w:r>
        <w:rPr>
          <w:rFonts w:hint="default" w:ascii="Times New Roman" w:hAnsi="Times New Roman" w:cs="Times New Roman"/>
          <w:color w:val="000000"/>
          <w:sz w:val="32"/>
          <w:szCs w:val="32"/>
        </w:rPr>
        <w:t xml:space="preserve"> 206926</w:t>
      </w:r>
      <w:r>
        <w:rPr>
          <w:rFonts w:hint="default" w:ascii="Times New Roman" w:hAnsi="Times New Roman" w:cs="Times New Roman"/>
          <w:color w:val="000000"/>
          <w:sz w:val="32"/>
          <w:szCs w:val="32"/>
          <w:lang w:val="en-US" w:eastAsia="zh-CN"/>
        </w:rPr>
        <w:t>0  王欣雨 2069256</w:t>
      </w:r>
    </w:p>
    <w:p>
      <w:pPr>
        <w:pageBreakBefore w:val="0"/>
        <w:widowControl w:val="0"/>
        <w:kinsoku/>
        <w:wordWrap/>
        <w:overflowPunct/>
        <w:topLinePunct w:val="0"/>
        <w:autoSpaceDE/>
        <w:autoSpaceDN/>
        <w:bidi w:val="0"/>
        <w:adjustRightInd/>
        <w:snapToGrid/>
        <w:spacing w:line="550" w:lineRule="exact"/>
        <w:ind w:firstLine="640"/>
        <w:textAlignment w:val="auto"/>
        <w:rPr>
          <w:rFonts w:hint="default" w:ascii="Times New Roman" w:hAnsi="Times New Roman" w:cs="Times New Roman"/>
          <w:color w:val="000000"/>
          <w:szCs w:val="32"/>
        </w:rPr>
      </w:pPr>
      <w:r>
        <w:rPr>
          <w:rFonts w:hint="default" w:ascii="Times New Roman" w:hAnsi="Times New Roman" w:cs="Times New Roman"/>
          <w:color w:val="000000"/>
          <w:szCs w:val="32"/>
        </w:rPr>
        <w:t>电子邮箱：</w:t>
      </w:r>
      <w:r>
        <w:rPr>
          <w:rFonts w:hint="default" w:ascii="Times New Roman" w:hAnsi="Times New Roman" w:cs="Times New Roman"/>
          <w:b w:val="0"/>
          <w:bCs w:val="0"/>
          <w:color w:val="000000"/>
          <w:szCs w:val="32"/>
          <w:lang w:val="en-US" w:eastAsia="zh-CN"/>
        </w:rPr>
        <w:t>bskjxm</w:t>
      </w:r>
      <w:r>
        <w:rPr>
          <w:rFonts w:hint="default" w:ascii="Times New Roman" w:hAnsi="Times New Roman" w:cs="Times New Roman"/>
          <w:b w:val="0"/>
          <w:bCs w:val="0"/>
          <w:color w:val="000000"/>
          <w:szCs w:val="32"/>
        </w:rPr>
        <w:t>@sina.c</w:t>
      </w:r>
      <w:r>
        <w:rPr>
          <w:rFonts w:hint="default" w:ascii="Times New Roman" w:hAnsi="Times New Roman" w:cs="Times New Roman"/>
          <w:color w:val="000000"/>
          <w:szCs w:val="32"/>
        </w:rPr>
        <w:t xml:space="preserve">om </w:t>
      </w:r>
    </w:p>
    <w:p>
      <w:pPr>
        <w:pageBreakBefore w:val="0"/>
        <w:kinsoku/>
        <w:wordWrap/>
        <w:overflowPunct/>
        <w:topLinePunct w:val="0"/>
        <w:autoSpaceDE/>
        <w:autoSpaceDN/>
        <w:bidi w:val="0"/>
        <w:ind w:firstLine="640"/>
        <w:textAlignment w:val="auto"/>
        <w:rPr>
          <w:rFonts w:hint="default" w:ascii="Times New Roman" w:hAnsi="Times New Roman" w:cs="Times New Roman"/>
          <w:b/>
          <w:bCs/>
          <w:color w:val="000000"/>
          <w:szCs w:val="32"/>
        </w:rPr>
      </w:pPr>
      <w:r>
        <w:rPr>
          <w:rFonts w:hint="default" w:ascii="Times New Roman" w:hAnsi="Times New Roman" w:cs="Times New Roman"/>
          <w:b/>
          <w:bCs/>
          <w:color w:val="000000"/>
          <w:szCs w:val="32"/>
        </w:rPr>
        <w:t>高新技术领域：</w:t>
      </w:r>
    </w:p>
    <w:p>
      <w:pPr>
        <w:pageBreakBefore w:val="0"/>
        <w:kinsoku/>
        <w:wordWrap/>
        <w:overflowPunct/>
        <w:topLinePunct w:val="0"/>
        <w:autoSpaceDE/>
        <w:autoSpaceDN/>
        <w:bidi w:val="0"/>
        <w:ind w:firstLine="640"/>
        <w:textAlignment w:val="auto"/>
        <w:rPr>
          <w:rFonts w:hint="default" w:ascii="Times New Roman" w:hAnsi="Times New Roman" w:cs="Times New Roman"/>
          <w:color w:val="000000"/>
          <w:szCs w:val="32"/>
          <w:lang w:val="en-US"/>
        </w:rPr>
      </w:pPr>
      <w:r>
        <w:rPr>
          <w:rFonts w:hint="default" w:ascii="Times New Roman" w:hAnsi="Times New Roman" w:cs="Times New Roman"/>
          <w:color w:val="000000"/>
          <w:szCs w:val="32"/>
        </w:rPr>
        <w:t>联</w:t>
      </w:r>
      <w:r>
        <w:rPr>
          <w:rFonts w:hint="eastAsia" w:cs="Times New Roman"/>
          <w:color w:val="000000"/>
          <w:szCs w:val="32"/>
          <w:lang w:val="en-US" w:eastAsia="zh-CN"/>
        </w:rPr>
        <w:t xml:space="preserve"> </w:t>
      </w:r>
      <w:r>
        <w:rPr>
          <w:rFonts w:hint="default" w:ascii="Times New Roman" w:hAnsi="Times New Roman" w:cs="Times New Roman"/>
          <w:color w:val="000000"/>
          <w:szCs w:val="32"/>
        </w:rPr>
        <w:t>系</w:t>
      </w:r>
      <w:r>
        <w:rPr>
          <w:rFonts w:hint="eastAsia" w:cs="Times New Roman"/>
          <w:color w:val="000000"/>
          <w:szCs w:val="32"/>
          <w:lang w:val="en-US" w:eastAsia="zh-CN"/>
        </w:rPr>
        <w:t xml:space="preserve"> </w:t>
      </w:r>
      <w:r>
        <w:rPr>
          <w:rFonts w:hint="default" w:ascii="Times New Roman" w:hAnsi="Times New Roman" w:cs="Times New Roman"/>
          <w:color w:val="000000"/>
          <w:szCs w:val="32"/>
        </w:rPr>
        <w:t>人：</w:t>
      </w:r>
      <w:r>
        <w:rPr>
          <w:rFonts w:hint="eastAsia" w:cs="Times New Roman"/>
          <w:color w:val="000000"/>
          <w:szCs w:val="32"/>
          <w:lang w:val="en-US" w:eastAsia="zh-CN"/>
        </w:rPr>
        <w:t xml:space="preserve">杨军 2069116   </w:t>
      </w:r>
      <w:r>
        <w:rPr>
          <w:rFonts w:hint="default" w:ascii="Times New Roman" w:hAnsi="Times New Roman" w:cs="Times New Roman"/>
          <w:color w:val="000000"/>
          <w:sz w:val="32"/>
          <w:szCs w:val="32"/>
          <w:lang w:val="en-US" w:eastAsia="zh-CN"/>
        </w:rPr>
        <w:t>何鸿斌</w:t>
      </w:r>
      <w:r>
        <w:rPr>
          <w:rFonts w:hint="default" w:ascii="Times New Roman" w:hAnsi="Times New Roman" w:cs="Times New Roman"/>
          <w:color w:val="000000"/>
          <w:sz w:val="32"/>
          <w:szCs w:val="32"/>
        </w:rPr>
        <w:t xml:space="preserve"> 2069</w:t>
      </w:r>
      <w:r>
        <w:rPr>
          <w:rFonts w:hint="default" w:ascii="Times New Roman" w:hAnsi="Times New Roman" w:cs="Times New Roman"/>
          <w:color w:val="000000"/>
          <w:sz w:val="32"/>
          <w:szCs w:val="32"/>
          <w:lang w:val="en-US" w:eastAsia="zh-CN"/>
        </w:rPr>
        <w:t>118</w:t>
      </w:r>
      <w:r>
        <w:rPr>
          <w:rFonts w:hint="eastAsia" w:cs="Times New Roman"/>
          <w:color w:val="000000"/>
          <w:sz w:val="32"/>
          <w:szCs w:val="32"/>
          <w:lang w:val="en-US" w:eastAsia="zh-CN"/>
        </w:rPr>
        <w:t xml:space="preserve">  张鑫2069528  王心仪 2015692</w:t>
      </w:r>
    </w:p>
    <w:p>
      <w:pPr>
        <w:pageBreakBefore w:val="0"/>
        <w:kinsoku/>
        <w:wordWrap/>
        <w:overflowPunct/>
        <w:topLinePunct w:val="0"/>
        <w:autoSpaceDE/>
        <w:autoSpaceDN/>
        <w:bidi w:val="0"/>
        <w:ind w:firstLine="640"/>
        <w:textAlignment w:val="auto"/>
        <w:rPr>
          <w:rFonts w:hint="default" w:ascii="Times New Roman" w:hAnsi="Times New Roman" w:cs="Times New Roman"/>
          <w:color w:val="000000"/>
          <w:szCs w:val="32"/>
        </w:rPr>
      </w:pPr>
      <w:r>
        <w:rPr>
          <w:rFonts w:hint="default" w:ascii="Times New Roman" w:hAnsi="Times New Roman" w:cs="Times New Roman"/>
          <w:color w:val="000000"/>
          <w:szCs w:val="32"/>
        </w:rPr>
        <w:t>电子邮箱：</w:t>
      </w:r>
      <w:r>
        <w:rPr>
          <w:rStyle w:val="17"/>
          <w:rFonts w:hint="default" w:ascii="Times New Roman" w:hAnsi="Times New Roman" w:cs="Times New Roman"/>
          <w:color w:val="000000" w:themeColor="text1"/>
          <w:sz w:val="32"/>
          <w:szCs w:val="32"/>
          <w:u w:val="none"/>
          <w:lang w:val="en-US" w:eastAsia="zh-CN"/>
          <w14:textFill>
            <w14:solidFill>
              <w14:schemeClr w14:val="tx1"/>
            </w14:solidFill>
          </w14:textFill>
        </w:rPr>
        <w:t>1849431889</w:t>
      </w:r>
      <w:r>
        <w:rPr>
          <w:rFonts w:hint="default" w:ascii="Times New Roman" w:hAnsi="Times New Roman" w:cs="Times New Roman"/>
          <w:color w:val="000000"/>
          <w:szCs w:val="32"/>
        </w:rPr>
        <w:t>@qq.com</w:t>
      </w:r>
    </w:p>
    <w:p>
      <w:pPr>
        <w:pStyle w:val="4"/>
        <w:spacing w:beforeLines="0" w:afterLines="0"/>
        <w:jc w:val="both"/>
        <w:rPr>
          <w:rFonts w:hint="default" w:ascii="Times New Roman" w:hAnsi="Times New Roman" w:cs="Times New Roman"/>
          <w:color w:val="000000"/>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519" w:bottom="1440" w:left="1633" w:header="851" w:footer="992" w:gutter="0"/>
      <w:pgNumType w:fmt="numberInDash" w:start="1"/>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right"/>
    </w:pPr>
    <w:r>
      <w:fldChar w:fldCharType="begin"/>
    </w:r>
    <w:r>
      <w:instrText xml:space="preserve"> PAGE   \* MERGEFORMAT </w:instrText>
    </w:r>
    <w:r>
      <w:fldChar w:fldCharType="separate"/>
    </w:r>
    <w:r>
      <w:rPr>
        <w:lang w:val="zh-CN"/>
      </w:rPr>
      <w:t>-</w:t>
    </w:r>
    <w:r>
      <w:t xml:space="preserve"> </w:t>
    </w:r>
    <w:r>
      <w:rPr>
        <w:sz w:val="20"/>
      </w:rPr>
      <w:t>25 -</w:t>
    </w:r>
    <w:r>
      <w:rPr>
        <w:sz w:val="20"/>
      </w:rPr>
      <w:fldChar w:fldCharType="end"/>
    </w:r>
  </w:p>
  <w:p>
    <w:pPr>
      <w:pStyle w:val="9"/>
      <w:ind w:lef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fldChar w:fldCharType="begin"/>
    </w:r>
    <w:r>
      <w:instrText xml:space="preserve"> PAGE   \* MERGEFORMAT </w:instrText>
    </w:r>
    <w:r>
      <w:fldChar w:fldCharType="separate"/>
    </w:r>
    <w:r>
      <w:rPr>
        <w:lang w:val="zh-CN"/>
      </w:rPr>
      <w:t>-</w:t>
    </w:r>
    <w:r>
      <w:t xml:space="preserve"> 24 -</w:t>
    </w:r>
    <w:r>
      <w:fldChar w:fldCharType="end"/>
    </w:r>
  </w:p>
  <w:p>
    <w:pPr>
      <w:pStyle w:val="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7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0DF34"/>
    <w:multiLevelType w:val="singleLevel"/>
    <w:tmpl w:val="8530DF34"/>
    <w:lvl w:ilvl="0" w:tentative="0">
      <w:start w:val="1"/>
      <w:numFmt w:val="chineseCounting"/>
      <w:suff w:val="nothing"/>
      <w:lvlText w:val="（%1）"/>
      <w:lvlJc w:val="left"/>
      <w:rPr>
        <w:rFonts w:hint="eastAsia"/>
      </w:rPr>
    </w:lvl>
  </w:abstractNum>
  <w:abstractNum w:abstractNumId="1">
    <w:nsid w:val="C1C55B83"/>
    <w:multiLevelType w:val="singleLevel"/>
    <w:tmpl w:val="C1C55B83"/>
    <w:lvl w:ilvl="0" w:tentative="0">
      <w:start w:val="1"/>
      <w:numFmt w:val="decimal"/>
      <w:suff w:val="space"/>
      <w:lvlText w:val="%1."/>
      <w:lvlJc w:val="left"/>
    </w:lvl>
  </w:abstractNum>
  <w:abstractNum w:abstractNumId="2">
    <w:nsid w:val="F65F4225"/>
    <w:multiLevelType w:val="singleLevel"/>
    <w:tmpl w:val="F65F4225"/>
    <w:lvl w:ilvl="0" w:tentative="0">
      <w:start w:val="1"/>
      <w:numFmt w:val="decimal"/>
      <w:suff w:val="nothing"/>
      <w:lvlText w:val="（%1）"/>
      <w:lvlJc w:val="left"/>
    </w:lvl>
  </w:abstractNum>
  <w:abstractNum w:abstractNumId="3">
    <w:nsid w:val="15CB42C7"/>
    <w:multiLevelType w:val="multilevel"/>
    <w:tmpl w:val="15CB42C7"/>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2074EB7"/>
    <w:multiLevelType w:val="singleLevel"/>
    <w:tmpl w:val="22074EB7"/>
    <w:lvl w:ilvl="0" w:tentative="0">
      <w:start w:val="2"/>
      <w:numFmt w:val="decimal"/>
      <w:suff w:val="space"/>
      <w:lvlText w:val="%1."/>
      <w:lvlJc w:val="left"/>
    </w:lvl>
  </w:abstractNum>
  <w:abstractNum w:abstractNumId="5">
    <w:nsid w:val="66B1100F"/>
    <w:multiLevelType w:val="singleLevel"/>
    <w:tmpl w:val="66B1100F"/>
    <w:lvl w:ilvl="0" w:tentative="0">
      <w:start w:val="2"/>
      <w:numFmt w:val="decimal"/>
      <w:suff w:val="space"/>
      <w:lvlText w:val="%1."/>
      <w:lvlJc w:val="left"/>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2YWUzNzBmODk1NDllNmQ1MDI1ZmQ4MjhlMWYzNzIifQ=="/>
  </w:docVars>
  <w:rsids>
    <w:rsidRoot w:val="008811D4"/>
    <w:rsid w:val="000A446B"/>
    <w:rsid w:val="000C1A86"/>
    <w:rsid w:val="00196903"/>
    <w:rsid w:val="00196B75"/>
    <w:rsid w:val="0021086C"/>
    <w:rsid w:val="002A153E"/>
    <w:rsid w:val="0031307F"/>
    <w:rsid w:val="003F6F13"/>
    <w:rsid w:val="00403AF5"/>
    <w:rsid w:val="004F50AC"/>
    <w:rsid w:val="00503C77"/>
    <w:rsid w:val="0052159C"/>
    <w:rsid w:val="00522FF1"/>
    <w:rsid w:val="005D0DAD"/>
    <w:rsid w:val="00623B58"/>
    <w:rsid w:val="00645752"/>
    <w:rsid w:val="0064776A"/>
    <w:rsid w:val="00692141"/>
    <w:rsid w:val="006B0C49"/>
    <w:rsid w:val="00731E1A"/>
    <w:rsid w:val="008811D4"/>
    <w:rsid w:val="0097042A"/>
    <w:rsid w:val="009B2D91"/>
    <w:rsid w:val="009B3817"/>
    <w:rsid w:val="009B7D28"/>
    <w:rsid w:val="00A6106E"/>
    <w:rsid w:val="00A663C3"/>
    <w:rsid w:val="00AB38C8"/>
    <w:rsid w:val="00B1695C"/>
    <w:rsid w:val="00CA0CBD"/>
    <w:rsid w:val="00CA5539"/>
    <w:rsid w:val="00D30956"/>
    <w:rsid w:val="00DD1D07"/>
    <w:rsid w:val="00DE486A"/>
    <w:rsid w:val="00E167B8"/>
    <w:rsid w:val="00EE5AB5"/>
    <w:rsid w:val="00F21266"/>
    <w:rsid w:val="00F77B3F"/>
    <w:rsid w:val="013F138E"/>
    <w:rsid w:val="01437F3D"/>
    <w:rsid w:val="01F950D6"/>
    <w:rsid w:val="04873B40"/>
    <w:rsid w:val="04CB2231"/>
    <w:rsid w:val="04F461BD"/>
    <w:rsid w:val="05545AFC"/>
    <w:rsid w:val="07B23185"/>
    <w:rsid w:val="090F3539"/>
    <w:rsid w:val="0A17305A"/>
    <w:rsid w:val="0A8A61EC"/>
    <w:rsid w:val="0AAF2F2E"/>
    <w:rsid w:val="0B2F77B2"/>
    <w:rsid w:val="0CE26BA9"/>
    <w:rsid w:val="0E4E56FF"/>
    <w:rsid w:val="0E5A56B5"/>
    <w:rsid w:val="0E750D17"/>
    <w:rsid w:val="0E8C037D"/>
    <w:rsid w:val="0EED7974"/>
    <w:rsid w:val="103D69CC"/>
    <w:rsid w:val="13F60BD6"/>
    <w:rsid w:val="14406E72"/>
    <w:rsid w:val="156D6EED"/>
    <w:rsid w:val="18213B3C"/>
    <w:rsid w:val="190C22F8"/>
    <w:rsid w:val="191100D5"/>
    <w:rsid w:val="1D756D31"/>
    <w:rsid w:val="1D893F68"/>
    <w:rsid w:val="1E4E5CD9"/>
    <w:rsid w:val="1FAE6AC1"/>
    <w:rsid w:val="1FF621AB"/>
    <w:rsid w:val="201452C8"/>
    <w:rsid w:val="21567DF3"/>
    <w:rsid w:val="21AB2C02"/>
    <w:rsid w:val="21FC6EA7"/>
    <w:rsid w:val="22D16E8F"/>
    <w:rsid w:val="246C594A"/>
    <w:rsid w:val="24F04189"/>
    <w:rsid w:val="262A53CE"/>
    <w:rsid w:val="26B578DB"/>
    <w:rsid w:val="27525D28"/>
    <w:rsid w:val="27D66C3F"/>
    <w:rsid w:val="27D8038B"/>
    <w:rsid w:val="28C37C43"/>
    <w:rsid w:val="29515BD9"/>
    <w:rsid w:val="29885A2B"/>
    <w:rsid w:val="2998776C"/>
    <w:rsid w:val="2ADC5A78"/>
    <w:rsid w:val="2D916FF6"/>
    <w:rsid w:val="2E725102"/>
    <w:rsid w:val="2EF22C39"/>
    <w:rsid w:val="30734ED5"/>
    <w:rsid w:val="32397DA4"/>
    <w:rsid w:val="32BE7A91"/>
    <w:rsid w:val="34785A1F"/>
    <w:rsid w:val="35B07A7F"/>
    <w:rsid w:val="366C2509"/>
    <w:rsid w:val="36972959"/>
    <w:rsid w:val="3738397D"/>
    <w:rsid w:val="38E47A08"/>
    <w:rsid w:val="39DE3110"/>
    <w:rsid w:val="3AD51313"/>
    <w:rsid w:val="3D5D797E"/>
    <w:rsid w:val="3F9D26C6"/>
    <w:rsid w:val="417212DA"/>
    <w:rsid w:val="44486B8F"/>
    <w:rsid w:val="44B2000D"/>
    <w:rsid w:val="44D71470"/>
    <w:rsid w:val="45714753"/>
    <w:rsid w:val="45D95E36"/>
    <w:rsid w:val="466B5A34"/>
    <w:rsid w:val="46812ADD"/>
    <w:rsid w:val="46BB7A7E"/>
    <w:rsid w:val="479A35A9"/>
    <w:rsid w:val="482961D1"/>
    <w:rsid w:val="48977148"/>
    <w:rsid w:val="492E0D9C"/>
    <w:rsid w:val="494A7FCC"/>
    <w:rsid w:val="4A413E97"/>
    <w:rsid w:val="4DEB139E"/>
    <w:rsid w:val="4E9B2695"/>
    <w:rsid w:val="4EDF2C76"/>
    <w:rsid w:val="50342E43"/>
    <w:rsid w:val="55C407E3"/>
    <w:rsid w:val="57596ADE"/>
    <w:rsid w:val="580E4603"/>
    <w:rsid w:val="5A1D3D19"/>
    <w:rsid w:val="5A3B5183"/>
    <w:rsid w:val="5AC454B1"/>
    <w:rsid w:val="5BFA39E3"/>
    <w:rsid w:val="5C2E5A14"/>
    <w:rsid w:val="5CAB249B"/>
    <w:rsid w:val="5D8225D3"/>
    <w:rsid w:val="5EA9169E"/>
    <w:rsid w:val="5F1266C6"/>
    <w:rsid w:val="5FEC6BEE"/>
    <w:rsid w:val="5FF7362B"/>
    <w:rsid w:val="61660A13"/>
    <w:rsid w:val="64754858"/>
    <w:rsid w:val="67294254"/>
    <w:rsid w:val="67945EC1"/>
    <w:rsid w:val="67BE2169"/>
    <w:rsid w:val="699D5FBC"/>
    <w:rsid w:val="6F363C35"/>
    <w:rsid w:val="6F624A06"/>
    <w:rsid w:val="6FC772A4"/>
    <w:rsid w:val="717151E3"/>
    <w:rsid w:val="72903CB1"/>
    <w:rsid w:val="731C7029"/>
    <w:rsid w:val="749A2897"/>
    <w:rsid w:val="75703288"/>
    <w:rsid w:val="75FE4ABB"/>
    <w:rsid w:val="774A39AF"/>
    <w:rsid w:val="77B35936"/>
    <w:rsid w:val="7A4825F7"/>
    <w:rsid w:val="7BB31B85"/>
    <w:rsid w:val="7C301B9C"/>
    <w:rsid w:val="7DE92D30"/>
    <w:rsid w:val="7E3D3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560" w:lineRule="exact"/>
      <w:ind w:firstLine="200" w:firstLineChars="200"/>
    </w:pPr>
    <w:rPr>
      <w:rFonts w:ascii="Times New Roman" w:hAnsi="Times New Roman" w:eastAsia="仿宋_GB2312" w:cs="Times New Roman"/>
      <w:sz w:val="32"/>
      <w:szCs w:val="22"/>
      <w:lang w:val="en-US" w:eastAsia="zh-CN" w:bidi="ar-SA"/>
    </w:rPr>
  </w:style>
  <w:style w:type="paragraph" w:styleId="4">
    <w:name w:val="heading 1"/>
    <w:basedOn w:val="1"/>
    <w:next w:val="1"/>
    <w:link w:val="19"/>
    <w:qFormat/>
    <w:uiPriority w:val="9"/>
    <w:pPr>
      <w:keepNext/>
      <w:keepLines/>
      <w:spacing w:beforeLines="100" w:afterLines="100"/>
      <w:ind w:firstLine="0" w:firstLineChars="0"/>
      <w:jc w:val="center"/>
      <w:outlineLvl w:val="0"/>
    </w:pPr>
    <w:rPr>
      <w:rFonts w:eastAsia="方正小标宋简体"/>
      <w:bCs/>
      <w:kern w:val="44"/>
      <w:sz w:val="44"/>
      <w:szCs w:val="44"/>
    </w:rPr>
  </w:style>
  <w:style w:type="paragraph" w:styleId="5">
    <w:name w:val="heading 2"/>
    <w:basedOn w:val="1"/>
    <w:next w:val="1"/>
    <w:link w:val="20"/>
    <w:unhideWhenUsed/>
    <w:qFormat/>
    <w:uiPriority w:val="9"/>
    <w:pPr>
      <w:keepNext/>
      <w:keepLines/>
      <w:outlineLvl w:val="1"/>
    </w:pPr>
    <w:rPr>
      <w:rFonts w:eastAsia="黑体"/>
      <w:bCs/>
      <w:kern w:val="2"/>
      <w:szCs w:val="32"/>
    </w:rPr>
  </w:style>
  <w:style w:type="paragraph" w:styleId="6">
    <w:name w:val="heading 3"/>
    <w:basedOn w:val="1"/>
    <w:next w:val="1"/>
    <w:link w:val="21"/>
    <w:unhideWhenUsed/>
    <w:qFormat/>
    <w:uiPriority w:val="9"/>
    <w:pPr>
      <w:keepNext/>
      <w:keepLines/>
      <w:outlineLvl w:val="2"/>
    </w:pPr>
    <w:rPr>
      <w:rFonts w:eastAsia="楷体_GB2312"/>
      <w:b/>
      <w:bCs/>
      <w:kern w:val="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eastAsia="宋体" w:cs="Times New Roman"/>
    </w:rPr>
  </w:style>
  <w:style w:type="paragraph" w:styleId="3">
    <w:name w:val="Body Text"/>
    <w:basedOn w:val="1"/>
    <w:qFormat/>
    <w:uiPriority w:val="0"/>
    <w:pPr>
      <w:spacing w:after="120"/>
    </w:pPr>
  </w:style>
  <w:style w:type="paragraph" w:styleId="7">
    <w:name w:val="Normal Indent"/>
    <w:basedOn w:val="1"/>
    <w:unhideWhenUsed/>
    <w:qFormat/>
    <w:uiPriority w:val="0"/>
    <w:pPr>
      <w:ind w:firstLine="420"/>
    </w:pPr>
    <w:rPr>
      <w:sz w:val="30"/>
    </w:rPr>
  </w:style>
  <w:style w:type="paragraph" w:styleId="8">
    <w:name w:val="Body Text Indent"/>
    <w:basedOn w:val="1"/>
    <w:next w:val="3"/>
    <w:qFormat/>
    <w:uiPriority w:val="0"/>
    <w:pPr>
      <w:spacing w:after="120"/>
      <w:ind w:left="420" w:leftChars="200"/>
    </w:pPr>
    <w:rPr>
      <w:rFonts w:ascii="Times New Roman" w:hAnsi="Times New Roman"/>
      <w:kern w:val="0"/>
      <w:sz w:val="20"/>
      <w:szCs w:val="20"/>
    </w:rPr>
  </w:style>
  <w:style w:type="paragraph" w:styleId="9">
    <w:name w:val="footer"/>
    <w:basedOn w:val="1"/>
    <w:link w:val="23"/>
    <w:qFormat/>
    <w:uiPriority w:val="99"/>
    <w:pPr>
      <w:tabs>
        <w:tab w:val="center" w:pos="4153"/>
        <w:tab w:val="right" w:pos="8306"/>
      </w:tabs>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pacing w:line="240" w:lineRule="auto"/>
      <w:jc w:val="both"/>
    </w:pPr>
    <w:rPr>
      <w:sz w:val="18"/>
    </w:rPr>
  </w:style>
  <w:style w:type="paragraph" w:styleId="11">
    <w:name w:val="Normal (Web)"/>
    <w:basedOn w:val="1"/>
    <w:unhideWhenUsed/>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
    </w:rPr>
  </w:style>
  <w:style w:type="paragraph" w:styleId="12">
    <w:name w:val="Title"/>
    <w:basedOn w:val="1"/>
    <w:qFormat/>
    <w:uiPriority w:val="10"/>
    <w:pPr>
      <w:spacing w:before="240" w:after="60"/>
      <w:jc w:val="center"/>
      <w:outlineLvl w:val="0"/>
    </w:pPr>
    <w:rPr>
      <w:rFonts w:ascii="Cambria" w:hAnsi="Cambria" w:eastAsia="宋体"/>
      <w:b/>
      <w:bCs/>
      <w:szCs w:val="32"/>
    </w:rPr>
  </w:style>
  <w:style w:type="paragraph" w:styleId="13">
    <w:name w:val="Body Text First Indent 2"/>
    <w:basedOn w:val="8"/>
    <w:next w:val="2"/>
    <w:qFormat/>
    <w:uiPriority w:val="0"/>
    <w:pPr>
      <w:spacing w:after="0"/>
      <w:ind w:firstLine="420" w:firstLineChars="200"/>
    </w:pPr>
    <w:rPr>
      <w:rFonts w:eastAsia="宋体" w:cs="Times New Roman"/>
      <w:szCs w:val="24"/>
    </w:rPr>
  </w:style>
  <w:style w:type="character" w:styleId="16">
    <w:name w:val="Strong"/>
    <w:basedOn w:val="15"/>
    <w:qFormat/>
    <w:uiPriority w:val="22"/>
    <w:rPr>
      <w:b/>
    </w:rPr>
  </w:style>
  <w:style w:type="character" w:styleId="17">
    <w:name w:val="Hyperlink"/>
    <w:basedOn w:val="15"/>
    <w:qFormat/>
    <w:uiPriority w:val="0"/>
    <w:rPr>
      <w:color w:val="0000FF"/>
      <w:u w:val="single"/>
    </w:rPr>
  </w:style>
  <w:style w:type="paragraph" w:customStyle="1" w:styleId="18">
    <w:name w:val="公文正文"/>
    <w:basedOn w:val="1"/>
    <w:qFormat/>
    <w:uiPriority w:val="0"/>
    <w:pPr>
      <w:ind w:firstLine="880"/>
    </w:pPr>
  </w:style>
  <w:style w:type="character" w:customStyle="1" w:styleId="19">
    <w:name w:val="标题 1 字符"/>
    <w:basedOn w:val="15"/>
    <w:link w:val="4"/>
    <w:qFormat/>
    <w:uiPriority w:val="9"/>
    <w:rPr>
      <w:rFonts w:ascii="Times New Roman" w:hAnsi="Times New Roman" w:eastAsia="方正小标宋简体"/>
      <w:bCs/>
      <w:kern w:val="44"/>
      <w:sz w:val="44"/>
      <w:szCs w:val="44"/>
    </w:rPr>
  </w:style>
  <w:style w:type="character" w:customStyle="1" w:styleId="20">
    <w:name w:val="标题 2 字符"/>
    <w:basedOn w:val="15"/>
    <w:link w:val="5"/>
    <w:qFormat/>
    <w:uiPriority w:val="9"/>
    <w:rPr>
      <w:rFonts w:ascii="Times New Roman" w:hAnsi="Times New Roman" w:eastAsia="黑体" w:cs="Times New Roman"/>
      <w:bCs/>
      <w:sz w:val="32"/>
      <w:szCs w:val="32"/>
    </w:rPr>
  </w:style>
  <w:style w:type="character" w:customStyle="1" w:styleId="21">
    <w:name w:val="标题 3 字符"/>
    <w:basedOn w:val="15"/>
    <w:link w:val="6"/>
    <w:qFormat/>
    <w:uiPriority w:val="9"/>
    <w:rPr>
      <w:rFonts w:ascii="Times New Roman" w:hAnsi="Times New Roman" w:eastAsia="楷体_GB2312"/>
      <w:b/>
      <w:bCs/>
      <w:sz w:val="32"/>
      <w:szCs w:val="32"/>
    </w:rPr>
  </w:style>
  <w:style w:type="character" w:customStyle="1" w:styleId="22">
    <w:name w:val="页眉 字符"/>
    <w:basedOn w:val="15"/>
    <w:link w:val="10"/>
    <w:qFormat/>
    <w:uiPriority w:val="99"/>
    <w:rPr>
      <w:rFonts w:ascii="Times New Roman" w:hAnsi="Times New Roman" w:eastAsia="仿宋_GB2312"/>
      <w:kern w:val="0"/>
      <w:sz w:val="18"/>
    </w:rPr>
  </w:style>
  <w:style w:type="character" w:customStyle="1" w:styleId="23">
    <w:name w:val="页脚 字符"/>
    <w:basedOn w:val="15"/>
    <w:link w:val="9"/>
    <w:qFormat/>
    <w:uiPriority w:val="99"/>
    <w:rPr>
      <w:rFonts w:ascii="Times New Roman" w:hAnsi="Times New Roman" w:eastAsia="仿宋_GB2312"/>
      <w:kern w:val="0"/>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3490</Words>
  <Characters>3872</Characters>
  <Lines>109</Lines>
  <Paragraphs>30</Paragraphs>
  <TotalTime>5</TotalTime>
  <ScaleCrop>false</ScaleCrop>
  <LinksUpToDate>false</LinksUpToDate>
  <CharactersWithSpaces>3901</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2021-10-10T09:39:00Z</dcterms:created>
  <dc:creator>Administrator</dc:creator>
  <cp:lastModifiedBy>008xjshzQQ</cp:lastModifiedBy>
  <cp:lastPrinted>2023-01-17T04:01:00Z</cp:lastPrinted>
  <dcterms:modified xsi:type="dcterms:W3CDTF">2023-11-07T10:13:55Z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FFA183A3410E4F4DAA611E9E09A6E1B0_13</vt:lpwstr>
  </property>
</Properties>
</file>