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附件</w:t>
      </w:r>
      <w:r>
        <w:rPr>
          <w:rFonts w:hint="eastAsia" w:eastAsia="黑体" w:cs="Times New Roman"/>
          <w:sz w:val="32"/>
          <w:szCs w:val="32"/>
          <w:highlight w:val="none"/>
          <w:lang w:val="en-US" w:eastAsia="zh-CN"/>
        </w:rPr>
        <w:t>3</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小标宋_GBK" w:cs="Times New Roman"/>
          <w:b/>
          <w:bCs/>
          <w:color w:val="auto"/>
          <w:sz w:val="32"/>
          <w:szCs w:val="32"/>
          <w:lang w:val="en-US" w:eastAsia="zh-CN"/>
        </w:rPr>
      </w:pPr>
      <w:r>
        <w:rPr>
          <w:rFonts w:hint="default" w:ascii="Times New Roman" w:hAnsi="Times New Roman" w:eastAsia="方正小标宋_GBK" w:cs="Times New Roman"/>
          <w:b w:val="0"/>
          <w:bCs w:val="0"/>
          <w:color w:val="auto"/>
          <w:sz w:val="44"/>
          <w:szCs w:val="44"/>
          <w:lang w:val="en-US" w:eastAsia="zh-CN"/>
        </w:rPr>
        <w:t>重点支持方向</w:t>
      </w:r>
    </w:p>
    <w:p>
      <w:pPr>
        <w:keepNext w:val="0"/>
        <w:keepLines w:val="0"/>
        <w:pageBreakBefore w:val="0"/>
        <w:widowControl w:val="0"/>
        <w:kinsoku/>
        <w:wordWrap/>
        <w:overflowPunct/>
        <w:topLinePunct w:val="0"/>
        <w:autoSpaceDE/>
        <w:autoSpaceDN/>
        <w:bidi w:val="0"/>
        <w:adjustRightInd/>
        <w:snapToGrid/>
        <w:spacing w:line="560" w:lineRule="exact"/>
        <w:ind w:firstLine="688" w:firstLineChars="200"/>
        <w:jc w:val="both"/>
        <w:textAlignment w:val="auto"/>
        <w:rPr>
          <w:rFonts w:hint="default" w:ascii="Times New Roman" w:hAnsi="Times New Roman" w:eastAsia="楷体_GB2312" w:cs="Times New Roman"/>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88"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lang w:val="en-US" w:eastAsia="zh-CN"/>
        </w:rPr>
        <w:t>1.</w:t>
      </w:r>
      <w:r>
        <w:rPr>
          <w:rFonts w:hint="default" w:ascii="Times New Roman" w:hAnsi="Times New Roman" w:eastAsia="楷体_GB2312" w:cs="Times New Roman"/>
          <w:b/>
          <w:bCs/>
          <w:color w:val="auto"/>
          <w:sz w:val="32"/>
          <w:szCs w:val="32"/>
        </w:rPr>
        <w:t>羊产业</w:t>
      </w:r>
      <w:r>
        <w:rPr>
          <w:rFonts w:hint="default" w:ascii="Times New Roman" w:hAnsi="Times New Roman" w:eastAsia="楷体_GB2312" w:cs="Times New Roman"/>
          <w:b/>
          <w:bCs/>
          <w:color w:val="auto"/>
          <w:sz w:val="32"/>
          <w:szCs w:val="32"/>
          <w:lang w:eastAsia="zh-CN"/>
        </w:rPr>
        <w:t>技术体系</w:t>
      </w:r>
      <w:r>
        <w:rPr>
          <w:rFonts w:hint="default" w:ascii="Times New Roman" w:hAnsi="Times New Roman" w:eastAsia="楷体_GB2312" w:cs="Times New Roman"/>
          <w:b/>
          <w:bCs/>
          <w:color w:val="auto"/>
          <w:sz w:val="32"/>
          <w:szCs w:val="32"/>
          <w:lang w:val="en-US" w:eastAsia="zh-CN"/>
        </w:rPr>
        <w:t>专家团队</w:t>
      </w:r>
      <w:r>
        <w:rPr>
          <w:rFonts w:hint="default" w:ascii="Times New Roman" w:hAnsi="Times New Roman" w:eastAsia="楷体_GB2312" w:cs="Times New Roman"/>
          <w:b/>
          <w:bCs/>
          <w:color w:val="auto"/>
          <w:sz w:val="32"/>
          <w:szCs w:val="32"/>
          <w:lang w:eastAsia="zh-CN"/>
        </w:rPr>
        <w:t>。</w:t>
      </w:r>
      <w:r>
        <w:rPr>
          <w:rFonts w:hint="default" w:ascii="Times New Roman" w:hAnsi="Times New Roman" w:eastAsia="仿宋_GB2312" w:cs="Times New Roman"/>
          <w:color w:val="auto"/>
          <w:sz w:val="32"/>
          <w:szCs w:val="32"/>
        </w:rPr>
        <w:t>落实《自治区肉羊高质量发展行动方案（2026—2028年）》，围绕“多生、少死、快长肉”，加快提升羊肉供给能力，推进增产、优质双提升。开展新疆地方羊品种选育，应用基因编辑等生物育种技术，培育适应新疆生长快、繁殖力高、肉脂率低、抗病力强的广域性肉羊新品种，大力推广多胎肉羊品种。示范推广“一年两产”“两年三产”高效繁育技术，以及“错峰配种”“经济杂交”“羔羊早期断奶、直线育肥”等生产技术，推动肉羊增产增效。研制肉羊不同生长阶段的精准饲喂绿色营养饲料产品，研发肉羊“多联多价”疫苗，推广人畜共患病和常见多发病快速精准诊疗技术。研发和集成推广应用羊肉精深加工和血、骨、皮等副产品高值化加工技术。建立健全肉羊全产业链数智化体系、绿色生产标准体系和质量安全可追溯体系，打造“疆字号”肉羊产品和品牌。</w:t>
      </w:r>
    </w:p>
    <w:p>
      <w:pPr>
        <w:keepNext w:val="0"/>
        <w:keepLines w:val="0"/>
        <w:pageBreakBefore w:val="0"/>
        <w:widowControl w:val="0"/>
        <w:kinsoku/>
        <w:wordWrap/>
        <w:overflowPunct/>
        <w:topLinePunct w:val="0"/>
        <w:autoSpaceDE/>
        <w:autoSpaceDN/>
        <w:bidi w:val="0"/>
        <w:adjustRightInd/>
        <w:snapToGrid/>
        <w:spacing w:line="560" w:lineRule="exact"/>
        <w:ind w:firstLine="688"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lang w:val="en-US" w:eastAsia="zh-CN"/>
        </w:rPr>
        <w:t>2.</w:t>
      </w:r>
      <w:r>
        <w:rPr>
          <w:rFonts w:hint="default" w:ascii="Times New Roman" w:hAnsi="Times New Roman" w:eastAsia="楷体_GB2312" w:cs="Times New Roman"/>
          <w:b/>
          <w:bCs/>
          <w:color w:val="auto"/>
          <w:sz w:val="32"/>
          <w:szCs w:val="32"/>
        </w:rPr>
        <w:t>肉牛产业</w:t>
      </w:r>
      <w:r>
        <w:rPr>
          <w:rFonts w:hint="default" w:ascii="Times New Roman" w:hAnsi="Times New Roman" w:eastAsia="楷体_GB2312" w:cs="Times New Roman"/>
          <w:b/>
          <w:bCs/>
          <w:color w:val="auto"/>
          <w:sz w:val="32"/>
          <w:szCs w:val="32"/>
          <w:lang w:eastAsia="zh-CN"/>
        </w:rPr>
        <w:t>技术体系</w:t>
      </w:r>
      <w:r>
        <w:rPr>
          <w:rFonts w:hint="default" w:ascii="Times New Roman" w:hAnsi="Times New Roman" w:eastAsia="楷体_GB2312" w:cs="Times New Roman"/>
          <w:b/>
          <w:bCs/>
          <w:color w:val="auto"/>
          <w:sz w:val="32"/>
          <w:szCs w:val="32"/>
          <w:lang w:val="en-US" w:eastAsia="zh-CN"/>
        </w:rPr>
        <w:t>专家团队</w:t>
      </w:r>
      <w:r>
        <w:rPr>
          <w:rFonts w:hint="default" w:ascii="Times New Roman" w:hAnsi="Times New Roman" w:eastAsia="楷体_GB2312" w:cs="Times New Roman"/>
          <w:b/>
          <w:bCs/>
          <w:color w:val="auto"/>
          <w:sz w:val="32"/>
          <w:szCs w:val="32"/>
          <w:lang w:eastAsia="zh-CN"/>
        </w:rPr>
        <w:t>。</w:t>
      </w:r>
      <w:r>
        <w:rPr>
          <w:rFonts w:hint="default" w:ascii="Times New Roman" w:hAnsi="Times New Roman" w:eastAsia="仿宋_GB2312" w:cs="Times New Roman"/>
          <w:color w:val="auto"/>
          <w:sz w:val="32"/>
          <w:szCs w:val="32"/>
        </w:rPr>
        <w:t>聚焦肉牛品种提质增效，推广优质肉牛冻精（胚胎），集成应用人工授精、胚胎移植、性能测定、精准选配等现代繁育技术，开展肉牛遗传评估，稳步推进新疆褐牛、中国西门塔尔牛、华西牛、安格斯牛群体改良。重点培育肉用新疆褐牛新品种（系）。示范推广“农区集中组群+统一配种”“牧区冷季补饲配种+出圈带孕放牧”“一年一产”肉牛改良繁育方式，扩大肉牛改良覆盖面。打造肉牛规模养殖场人工智能应用场景，推广数智化新装备新技术。集成推广肉牛精准饲喂、高效育肥、节本增效等先进实用技术和增产增效肉牛杂交组合模式。集成推广牛焦虫病、犊牛腹泻等肉牛高发病防控技术。研发和集成推广高档牛肉制品生产工艺及副产品高值化加工技术，增强肉牛产业核心竞争力。</w:t>
      </w:r>
    </w:p>
    <w:p>
      <w:pPr>
        <w:keepNext w:val="0"/>
        <w:keepLines w:val="0"/>
        <w:pageBreakBefore w:val="0"/>
        <w:widowControl w:val="0"/>
        <w:kinsoku/>
        <w:wordWrap/>
        <w:overflowPunct/>
        <w:topLinePunct w:val="0"/>
        <w:autoSpaceDE/>
        <w:autoSpaceDN/>
        <w:bidi w:val="0"/>
        <w:adjustRightInd/>
        <w:snapToGrid/>
        <w:spacing w:line="560" w:lineRule="exact"/>
        <w:ind w:firstLine="688"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lang w:val="en-US" w:eastAsia="zh-CN"/>
        </w:rPr>
        <w:t>3.</w:t>
      </w:r>
      <w:r>
        <w:rPr>
          <w:rFonts w:hint="default" w:ascii="Times New Roman" w:hAnsi="Times New Roman" w:eastAsia="楷体_GB2312" w:cs="Times New Roman"/>
          <w:b/>
          <w:bCs/>
          <w:color w:val="auto"/>
          <w:sz w:val="32"/>
          <w:szCs w:val="32"/>
        </w:rPr>
        <w:t>马产业</w:t>
      </w:r>
      <w:r>
        <w:rPr>
          <w:rFonts w:hint="default" w:ascii="Times New Roman" w:hAnsi="Times New Roman" w:eastAsia="楷体_GB2312" w:cs="Times New Roman"/>
          <w:b/>
          <w:bCs/>
          <w:color w:val="auto"/>
          <w:sz w:val="32"/>
          <w:szCs w:val="32"/>
          <w:lang w:eastAsia="zh-CN"/>
        </w:rPr>
        <w:t>技术体系</w:t>
      </w:r>
      <w:r>
        <w:rPr>
          <w:rFonts w:hint="default" w:ascii="Times New Roman" w:hAnsi="Times New Roman" w:eastAsia="楷体_GB2312" w:cs="Times New Roman"/>
          <w:b/>
          <w:bCs/>
          <w:color w:val="auto"/>
          <w:sz w:val="32"/>
          <w:szCs w:val="32"/>
          <w:lang w:val="en-US" w:eastAsia="zh-CN"/>
        </w:rPr>
        <w:t>专家团队</w:t>
      </w:r>
      <w:r>
        <w:rPr>
          <w:rFonts w:hint="default" w:ascii="Times New Roman" w:hAnsi="Times New Roman" w:eastAsia="楷体_GB2312" w:cs="Times New Roman"/>
          <w:b/>
          <w:bCs/>
          <w:color w:val="auto"/>
          <w:sz w:val="32"/>
          <w:szCs w:val="32"/>
          <w:lang w:eastAsia="zh-CN"/>
        </w:rPr>
        <w:t>。</w:t>
      </w:r>
      <w:r>
        <w:rPr>
          <w:rFonts w:hint="default" w:ascii="Times New Roman" w:hAnsi="Times New Roman" w:eastAsia="仿宋_GB2312" w:cs="Times New Roman"/>
          <w:color w:val="auto"/>
          <w:sz w:val="32"/>
          <w:szCs w:val="32"/>
        </w:rPr>
        <w:t>支撑良种马选育、马文旅赛事融合和促进马产业增效为重点，挖掘新疆地方马遗传资源特性，推进地方品种保护与利用；应用优质种质资源加快马群体改良，开展运动型、乳用型、肉用型马专门化品系培育，构建多级联动的社会化、商业化育种体系。普及马品种登记，推广马人工授精、选种选配、精准饲喂、调教训练等技术，加强马普通病、传染病、寄生虫病综合防控技术推广，推动马高效繁育、健康养殖；研发推广不同用途马匹的专用商品化饲料产品；研发推广马奶、马肉和孕马尿等副产品高值化精深加工技术，加快数智化马匹应用场景与质量追溯体系建设，推进新疆马产业高质量发展。</w:t>
      </w:r>
    </w:p>
    <w:p>
      <w:pPr>
        <w:keepNext w:val="0"/>
        <w:keepLines w:val="0"/>
        <w:pageBreakBefore w:val="0"/>
        <w:widowControl w:val="0"/>
        <w:kinsoku/>
        <w:wordWrap/>
        <w:overflowPunct/>
        <w:topLinePunct w:val="0"/>
        <w:autoSpaceDE/>
        <w:autoSpaceDN/>
        <w:bidi w:val="0"/>
        <w:adjustRightInd/>
        <w:snapToGrid/>
        <w:spacing w:line="560" w:lineRule="exact"/>
        <w:ind w:firstLine="688"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lang w:val="en-US" w:eastAsia="zh-CN"/>
        </w:rPr>
        <w:t>4.</w:t>
      </w:r>
      <w:r>
        <w:rPr>
          <w:rFonts w:hint="default" w:ascii="Times New Roman" w:hAnsi="Times New Roman" w:eastAsia="楷体_GB2312" w:cs="Times New Roman"/>
          <w:b/>
          <w:bCs/>
          <w:color w:val="auto"/>
          <w:sz w:val="32"/>
          <w:szCs w:val="32"/>
        </w:rPr>
        <w:t>家禽产业</w:t>
      </w:r>
      <w:r>
        <w:rPr>
          <w:rFonts w:hint="default" w:ascii="Times New Roman" w:hAnsi="Times New Roman" w:eastAsia="楷体_GB2312" w:cs="Times New Roman"/>
          <w:b/>
          <w:bCs/>
          <w:color w:val="auto"/>
          <w:sz w:val="32"/>
          <w:szCs w:val="32"/>
          <w:lang w:eastAsia="zh-CN"/>
        </w:rPr>
        <w:t>技术体系</w:t>
      </w:r>
      <w:r>
        <w:rPr>
          <w:rFonts w:hint="default" w:ascii="Times New Roman" w:hAnsi="Times New Roman" w:eastAsia="楷体_GB2312" w:cs="Times New Roman"/>
          <w:b/>
          <w:bCs/>
          <w:color w:val="auto"/>
          <w:sz w:val="32"/>
          <w:szCs w:val="32"/>
          <w:lang w:val="en-US" w:eastAsia="zh-CN"/>
        </w:rPr>
        <w:t>专家团队</w:t>
      </w:r>
      <w:r>
        <w:rPr>
          <w:rFonts w:hint="default" w:ascii="Times New Roman" w:hAnsi="Times New Roman" w:eastAsia="楷体_GB2312" w:cs="Times New Roman"/>
          <w:b/>
          <w:bCs/>
          <w:color w:val="auto"/>
          <w:sz w:val="32"/>
          <w:szCs w:val="32"/>
          <w:lang w:eastAsia="zh-CN"/>
        </w:rPr>
        <w:t>。</w:t>
      </w:r>
      <w:r>
        <w:rPr>
          <w:rFonts w:hint="default" w:ascii="Times New Roman" w:hAnsi="Times New Roman" w:eastAsia="仿宋_GB2312" w:cs="Times New Roman"/>
          <w:color w:val="auto"/>
          <w:sz w:val="32"/>
          <w:szCs w:val="32"/>
        </w:rPr>
        <w:t>种质开发、健康养殖、疫病防控、精深加工、品牌创建为重点，挖掘新疆地方特色家禽种质资源，培育适配新疆需求的有色羽肉鸽、粉壳蛋鸡、有色羽肉鸡新品种（系）。推行豆粕减量替代技术，筛选富硒、DHA类功能性饲料添加剂，普及精准营养饲喂、智能化养殖管控技术，保障养殖产能稳定高效。示范推广多联快速检测、“AI+”智能疫病诊断技术，研发推广绿色替抗防疫产品，严控兽药抗生素投入使用。集成组装精深加工关键配套技术，开发烤卤、椒麻、风干等地域特色风味家禽产品，加快品牌创建，提升产品附加值与市场竞争力。</w:t>
      </w:r>
    </w:p>
    <w:p>
      <w:pPr>
        <w:keepNext w:val="0"/>
        <w:keepLines w:val="0"/>
        <w:pageBreakBefore w:val="0"/>
        <w:widowControl w:val="0"/>
        <w:kinsoku/>
        <w:wordWrap/>
        <w:overflowPunct/>
        <w:topLinePunct w:val="0"/>
        <w:autoSpaceDE/>
        <w:autoSpaceDN/>
        <w:bidi w:val="0"/>
        <w:adjustRightInd/>
        <w:snapToGrid/>
        <w:spacing w:line="560" w:lineRule="exact"/>
        <w:ind w:firstLine="688"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lang w:val="en-US" w:eastAsia="zh-CN"/>
        </w:rPr>
        <w:t>5.</w:t>
      </w:r>
      <w:r>
        <w:rPr>
          <w:rFonts w:hint="default" w:ascii="Times New Roman" w:hAnsi="Times New Roman" w:eastAsia="楷体_GB2312" w:cs="Times New Roman"/>
          <w:b/>
          <w:bCs/>
          <w:color w:val="auto"/>
          <w:sz w:val="32"/>
          <w:szCs w:val="32"/>
        </w:rPr>
        <w:t>奶产业</w:t>
      </w:r>
      <w:r>
        <w:rPr>
          <w:rFonts w:hint="default" w:ascii="Times New Roman" w:hAnsi="Times New Roman" w:eastAsia="楷体_GB2312" w:cs="Times New Roman"/>
          <w:b/>
          <w:bCs/>
          <w:color w:val="auto"/>
          <w:sz w:val="32"/>
          <w:szCs w:val="32"/>
          <w:lang w:eastAsia="zh-CN"/>
        </w:rPr>
        <w:t>技术体系</w:t>
      </w:r>
      <w:r>
        <w:rPr>
          <w:rFonts w:hint="default" w:ascii="Times New Roman" w:hAnsi="Times New Roman" w:eastAsia="楷体_GB2312" w:cs="Times New Roman"/>
          <w:b/>
          <w:bCs/>
          <w:color w:val="auto"/>
          <w:sz w:val="32"/>
          <w:szCs w:val="32"/>
          <w:lang w:val="en-US" w:eastAsia="zh-CN"/>
        </w:rPr>
        <w:t>专家团队</w:t>
      </w:r>
      <w:r>
        <w:rPr>
          <w:rFonts w:hint="default" w:ascii="Times New Roman" w:hAnsi="Times New Roman" w:eastAsia="楷体_GB2312" w:cs="Times New Roman"/>
          <w:b/>
          <w:bCs/>
          <w:color w:val="auto"/>
          <w:sz w:val="32"/>
          <w:szCs w:val="32"/>
          <w:lang w:eastAsia="zh-CN"/>
        </w:rPr>
        <w:t>。</w:t>
      </w:r>
      <w:r>
        <w:rPr>
          <w:rFonts w:hint="default" w:ascii="Times New Roman" w:hAnsi="Times New Roman" w:eastAsia="仿宋_GB2312" w:cs="Times New Roman"/>
          <w:color w:val="auto"/>
          <w:sz w:val="32"/>
          <w:szCs w:val="32"/>
        </w:rPr>
        <w:t>聚焦生乳产量提升与乳制品多元化开发，推广应用基因组选择、活体采卵—体外胚胎生产、胚胎移植等现代繁育技术，扩繁高产奶牛核心种群，推进荷斯坦奶牛、乳肉兼用奶牛群体遗传改良。集成推广低成本日粮配制、精准饲喂、智能挤奶、环境智能调控等关键技术，促进奶产业节本增效。建立规模场奶牛“两病”分层筛查、分区管理、精准淘汰净化模式，集成推广犊牛腹泻、肺炎及奶牛乳房炎等常见病防控技术。深度挖掘新疆特色乳制品风味，开发生产功能性生乳，研发乳酪、婴幼儿配方奶粉等干制及功能性乳制品，构建全产业链质量追溯体系。同时，开展驼、驴等特种乳畜良种繁育、绿色养殖、生鲜乳品质管控技术研究示范，推动奶产业高质量发展。</w:t>
      </w:r>
    </w:p>
    <w:p>
      <w:pPr>
        <w:keepNext w:val="0"/>
        <w:keepLines w:val="0"/>
        <w:pageBreakBefore w:val="0"/>
        <w:widowControl w:val="0"/>
        <w:kinsoku/>
        <w:wordWrap/>
        <w:overflowPunct/>
        <w:topLinePunct w:val="0"/>
        <w:autoSpaceDE/>
        <w:autoSpaceDN/>
        <w:bidi w:val="0"/>
        <w:adjustRightInd/>
        <w:snapToGrid/>
        <w:spacing w:line="560" w:lineRule="exact"/>
        <w:ind w:firstLine="688"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lang w:val="en-US" w:eastAsia="zh-CN"/>
        </w:rPr>
        <w:t>6.</w:t>
      </w:r>
      <w:r>
        <w:rPr>
          <w:rFonts w:hint="default" w:ascii="Times New Roman" w:hAnsi="Times New Roman" w:eastAsia="楷体_GB2312" w:cs="Times New Roman"/>
          <w:b/>
          <w:bCs/>
          <w:color w:val="auto"/>
          <w:sz w:val="32"/>
          <w:szCs w:val="32"/>
        </w:rPr>
        <w:t>优质饲草产业</w:t>
      </w:r>
      <w:r>
        <w:rPr>
          <w:rFonts w:hint="default" w:ascii="Times New Roman" w:hAnsi="Times New Roman" w:eastAsia="楷体_GB2312" w:cs="Times New Roman"/>
          <w:b/>
          <w:bCs/>
          <w:color w:val="auto"/>
          <w:sz w:val="32"/>
          <w:szCs w:val="32"/>
          <w:lang w:eastAsia="zh-CN"/>
        </w:rPr>
        <w:t>技术体系</w:t>
      </w:r>
      <w:r>
        <w:rPr>
          <w:rFonts w:hint="default" w:ascii="Times New Roman" w:hAnsi="Times New Roman" w:eastAsia="楷体_GB2312" w:cs="Times New Roman"/>
          <w:b/>
          <w:bCs/>
          <w:color w:val="auto"/>
          <w:sz w:val="32"/>
          <w:szCs w:val="32"/>
          <w:lang w:val="en-US" w:eastAsia="zh-CN"/>
        </w:rPr>
        <w:t>专家团队</w:t>
      </w:r>
      <w:r>
        <w:rPr>
          <w:rFonts w:hint="default" w:ascii="Times New Roman" w:hAnsi="Times New Roman" w:eastAsia="楷体_GB2312" w:cs="Times New Roman"/>
          <w:b/>
          <w:bCs/>
          <w:color w:val="auto"/>
          <w:sz w:val="32"/>
          <w:szCs w:val="32"/>
          <w:lang w:eastAsia="zh-CN"/>
        </w:rPr>
        <w:t>。</w:t>
      </w:r>
      <w:r>
        <w:rPr>
          <w:rFonts w:hint="default" w:ascii="Times New Roman" w:hAnsi="Times New Roman" w:eastAsia="仿宋_GB2312" w:cs="Times New Roman"/>
          <w:color w:val="auto"/>
          <w:sz w:val="32"/>
          <w:szCs w:val="32"/>
        </w:rPr>
        <w:t>焦苜蓿、青贮玉米、饲用燕麦和饲用高粱等优质饲草，开展品种引育及种子繁育技术研发与示范推广，建设苜蓿、青贮玉米等优质饲草良种生产示范基地，提高国产草种供给能力。创建盐碱地、风沙地优质饲草高效种植模式，推广应用高效节水、水肥精准管理、绿色防控技术，引进、改良机械化、智能化收贮装备，实现饲草料生产节本增效、高产稳产。集成运用天然草原、人工草场生产力提升技术组合，促进草原畜牧业转型升级。开发秸秆、糟渣饼粕等农副产品资源利用新技术新产品，研发畜禽无豆粕型、低蛋白饲料配方。建立本土饲草料资源营养数据库，根据不同畜种不同生长阶段的营养需求，集成推广精准饲喂技术，提高饲草料转化利用率。开展不同区域饲草料品种区域试验和高产栽培技术示范，推广良种良机良技综合配套技术。</w:t>
      </w:r>
    </w:p>
    <w:p>
      <w:pPr>
        <w:keepNext w:val="0"/>
        <w:keepLines w:val="0"/>
        <w:pageBreakBefore w:val="0"/>
        <w:widowControl w:val="0"/>
        <w:kinsoku/>
        <w:wordWrap/>
        <w:overflowPunct/>
        <w:topLinePunct w:val="0"/>
        <w:autoSpaceDE/>
        <w:autoSpaceDN/>
        <w:bidi w:val="0"/>
        <w:adjustRightInd/>
        <w:snapToGrid/>
        <w:spacing w:line="560" w:lineRule="exact"/>
        <w:ind w:firstLine="688"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楷体_GB2312" w:cs="Times New Roman"/>
          <w:b/>
          <w:bCs/>
          <w:color w:val="auto"/>
          <w:sz w:val="32"/>
          <w:szCs w:val="32"/>
          <w:lang w:val="en-US" w:eastAsia="zh-CN"/>
        </w:rPr>
        <w:t>7.</w:t>
      </w:r>
      <w:r>
        <w:rPr>
          <w:rFonts w:hint="default" w:ascii="Times New Roman" w:hAnsi="Times New Roman" w:eastAsia="楷体_GB2312" w:cs="Times New Roman"/>
          <w:b/>
          <w:bCs/>
          <w:color w:val="auto"/>
          <w:sz w:val="32"/>
          <w:szCs w:val="32"/>
        </w:rPr>
        <w:t>冷水鱼产业</w:t>
      </w:r>
      <w:r>
        <w:rPr>
          <w:rFonts w:hint="default" w:ascii="Times New Roman" w:hAnsi="Times New Roman" w:eastAsia="楷体_GB2312" w:cs="Times New Roman"/>
          <w:b/>
          <w:bCs/>
          <w:color w:val="auto"/>
          <w:sz w:val="32"/>
          <w:szCs w:val="32"/>
          <w:lang w:eastAsia="zh-CN"/>
        </w:rPr>
        <w:t>技术体系</w:t>
      </w:r>
      <w:r>
        <w:rPr>
          <w:rFonts w:hint="default" w:ascii="Times New Roman" w:hAnsi="Times New Roman" w:eastAsia="楷体_GB2312" w:cs="Times New Roman"/>
          <w:b/>
          <w:bCs/>
          <w:color w:val="auto"/>
          <w:sz w:val="32"/>
          <w:szCs w:val="32"/>
          <w:lang w:val="en-US" w:eastAsia="zh-CN"/>
        </w:rPr>
        <w:t>专家团队</w:t>
      </w:r>
      <w:r>
        <w:rPr>
          <w:rFonts w:hint="default" w:ascii="Times New Roman" w:hAnsi="Times New Roman" w:eastAsia="楷体_GB2312" w:cs="Times New Roman"/>
          <w:b/>
          <w:bCs/>
          <w:color w:val="auto"/>
          <w:sz w:val="32"/>
          <w:szCs w:val="32"/>
          <w:lang w:eastAsia="zh-CN"/>
        </w:rPr>
        <w:t>。</w:t>
      </w:r>
      <w:r>
        <w:rPr>
          <w:rFonts w:hint="default" w:ascii="Times New Roman" w:hAnsi="Times New Roman" w:eastAsia="仿宋_GB2312" w:cs="Times New Roman"/>
          <w:color w:val="auto"/>
          <w:sz w:val="32"/>
          <w:szCs w:val="32"/>
        </w:rPr>
        <w:t>提升新疆冷水鱼产业规模和品质效益为重点，加快研究全雌三倍体虹鳟（三文鱼）制种技术，推动苗种国产替代,选育特色经济鱼类品系。推广鱼类资源保护利用技术，持续扩大梭鲈、河鲈、白斑狗鱼等本土鱼类原种保有量，示范推广饵料驯化培育技术，提升优质苗种稳定供给能力。利用天然水域（含盐碱水域）和冷泉水，推广生态环保网箱养殖、大水面生态养殖、工程化陆基圆池、跑道式循环水等养殖模式。推广应用无疫苗种场建设与免疫技术，构建鱼类疫病区域防控体系。研发集成冷水鱼产品精深加工和副产物资源化综合利用技术。构建冷水鱼产品质量标准体系，筛选特色营养指标，扩大新疆冷水鱼高端品牌效应，加强水产市场监测和研究，推动渔业高质高效发展。</w:t>
      </w:r>
    </w:p>
    <w:p>
      <w:pPr>
        <w:keepNext w:val="0"/>
        <w:keepLines w:val="0"/>
        <w:pageBreakBefore w:val="0"/>
        <w:widowControl w:val="0"/>
        <w:kinsoku/>
        <w:wordWrap/>
        <w:overflowPunct/>
        <w:topLinePunct w:val="0"/>
        <w:autoSpaceDE/>
        <w:autoSpaceDN/>
        <w:bidi w:val="0"/>
        <w:adjustRightInd/>
        <w:snapToGrid/>
        <w:spacing w:line="560" w:lineRule="exact"/>
        <w:ind w:firstLine="688"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kern w:val="2"/>
          <w:sz w:val="32"/>
          <w:szCs w:val="32"/>
          <w:lang w:val="en-US" w:eastAsia="zh-CN" w:bidi="ar-SA"/>
        </w:rPr>
        <w:t>8.苹果产业</w:t>
      </w:r>
      <w:r>
        <w:rPr>
          <w:rFonts w:hint="default" w:ascii="Times New Roman" w:hAnsi="Times New Roman" w:eastAsia="楷体_GB2312" w:cs="Times New Roman"/>
          <w:b/>
          <w:bCs/>
          <w:color w:val="auto"/>
          <w:sz w:val="32"/>
          <w:szCs w:val="32"/>
          <w:lang w:eastAsia="zh-CN"/>
        </w:rPr>
        <w:t>技术体系</w:t>
      </w:r>
      <w:r>
        <w:rPr>
          <w:rFonts w:hint="default" w:ascii="Times New Roman" w:hAnsi="Times New Roman" w:eastAsia="楷体_GB2312" w:cs="Times New Roman"/>
          <w:b/>
          <w:bCs/>
          <w:color w:val="auto"/>
          <w:sz w:val="32"/>
          <w:szCs w:val="32"/>
          <w:lang w:val="en-US" w:eastAsia="zh-CN"/>
        </w:rPr>
        <w:t>专家团队</w:t>
      </w:r>
      <w:r>
        <w:rPr>
          <w:rFonts w:hint="default" w:ascii="Times New Roman" w:hAnsi="Times New Roman" w:eastAsia="楷体_GB2312" w:cs="Times New Roman"/>
          <w:b/>
          <w:bCs/>
          <w:color w:val="auto"/>
          <w:kern w:val="2"/>
          <w:sz w:val="32"/>
          <w:szCs w:val="32"/>
          <w:lang w:val="en-US" w:eastAsia="zh-CN" w:bidi="ar-SA"/>
        </w:rPr>
        <w:t>。</w:t>
      </w:r>
      <w:r>
        <w:rPr>
          <w:rFonts w:hint="default" w:ascii="Times New Roman" w:hAnsi="Times New Roman" w:eastAsia="仿宋_GB2312" w:cs="Times New Roman"/>
          <w:color w:val="auto"/>
          <w:sz w:val="32"/>
          <w:szCs w:val="32"/>
        </w:rPr>
        <w:t>围绕新疆苹果全产业链关键技术问题和需求，</w:t>
      </w:r>
      <w:r>
        <w:rPr>
          <w:rFonts w:hint="default" w:ascii="Times New Roman" w:hAnsi="Times New Roman" w:eastAsia="仿宋_GB2312" w:cs="Times New Roman"/>
          <w:color w:val="auto"/>
          <w:sz w:val="32"/>
          <w:szCs w:val="32"/>
          <w:lang w:eastAsia="zh-CN"/>
        </w:rPr>
        <w:t>凝练重大攻关目标。</w:t>
      </w:r>
      <w:r>
        <w:rPr>
          <w:rFonts w:hint="default" w:ascii="Times New Roman" w:hAnsi="Times New Roman" w:eastAsia="仿宋_GB2312" w:cs="Times New Roman"/>
          <w:color w:val="auto"/>
          <w:sz w:val="32"/>
          <w:szCs w:val="32"/>
        </w:rPr>
        <w:t>开展苹果优质免套袋新品种与矮化多抗砧木选育、低效郁闭果园降本提质增效、苹果简约化高效栽培、绿色果品生产、果园机械化智能化、采后减损及高值化加工利用等关键技术</w:t>
      </w:r>
      <w:r>
        <w:rPr>
          <w:rFonts w:hint="default" w:ascii="Times New Roman" w:hAnsi="Times New Roman" w:eastAsia="仿宋_GB2312" w:cs="Times New Roman"/>
          <w:color w:val="auto"/>
          <w:sz w:val="32"/>
          <w:szCs w:val="32"/>
          <w:lang w:eastAsia="zh-CN"/>
        </w:rPr>
        <w:t>的信息咨询、规划研究、</w:t>
      </w:r>
      <w:r>
        <w:rPr>
          <w:rFonts w:hint="default" w:ascii="Times New Roman" w:hAnsi="Times New Roman" w:eastAsia="仿宋_GB2312" w:cs="Times New Roman"/>
          <w:color w:val="auto"/>
          <w:sz w:val="32"/>
          <w:szCs w:val="32"/>
        </w:rPr>
        <w:t>研发集成与示范推广</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在</w:t>
      </w:r>
      <w:r>
        <w:rPr>
          <w:rFonts w:hint="default" w:ascii="Times New Roman" w:hAnsi="Times New Roman" w:eastAsia="仿宋_GB2312" w:cs="Times New Roman"/>
          <w:color w:val="auto"/>
          <w:sz w:val="32"/>
          <w:szCs w:val="32"/>
          <w:lang w:eastAsia="zh-CN"/>
        </w:rPr>
        <w:t>南北疆不同生态区</w:t>
      </w:r>
      <w:r>
        <w:rPr>
          <w:rFonts w:hint="default" w:ascii="Times New Roman" w:hAnsi="Times New Roman" w:eastAsia="仿宋_GB2312" w:cs="Times New Roman"/>
          <w:color w:val="auto"/>
          <w:sz w:val="32"/>
          <w:szCs w:val="32"/>
        </w:rPr>
        <w:t>建立综合试验站</w:t>
      </w:r>
      <w:r>
        <w:rPr>
          <w:rFonts w:hint="default" w:ascii="Times New Roman" w:hAnsi="Times New Roman" w:eastAsia="仿宋_GB2312" w:cs="Times New Roman"/>
          <w:color w:val="auto"/>
          <w:sz w:val="32"/>
          <w:szCs w:val="32"/>
          <w:lang w:eastAsia="zh-CN"/>
        </w:rPr>
        <w:t>开展区试和</w:t>
      </w:r>
      <w:r>
        <w:rPr>
          <w:rFonts w:hint="default" w:ascii="Times New Roman" w:hAnsi="Times New Roman" w:eastAsia="仿宋_GB2312" w:cs="Times New Roman"/>
          <w:color w:val="auto"/>
          <w:sz w:val="32"/>
          <w:szCs w:val="32"/>
        </w:rPr>
        <w:t>集成熟化，形成新品种、新模式、新技术、新产品、新装备等成熟配套技术成果，并将成果方案化、标准化、工艺化、产品化，通过技术转化、示范和培训，推动先进成熟技术在新疆苹果全产业链建设中集成示范与产业化落地。</w:t>
      </w:r>
    </w:p>
    <w:p>
      <w:pPr>
        <w:pageBreakBefore w:val="0"/>
        <w:widowControl/>
        <w:kinsoku/>
        <w:wordWrap/>
        <w:overflowPunct/>
        <w:topLinePunct w:val="0"/>
        <w:autoSpaceDE/>
        <w:autoSpaceDN/>
        <w:bidi w:val="0"/>
        <w:spacing w:line="560" w:lineRule="exact"/>
        <w:ind w:firstLine="688" w:firstLineChars="200"/>
        <w:jc w:val="both"/>
        <w:textAlignment w:val="auto"/>
        <w:rPr>
          <w:rFonts w:hint="eastAsia"/>
          <w:lang w:val="en-US" w:eastAsia="zh-CN"/>
        </w:rPr>
      </w:pPr>
      <w:r>
        <w:rPr>
          <w:rFonts w:hint="default" w:ascii="Times New Roman" w:hAnsi="Times New Roman" w:eastAsia="楷体_GB2312" w:cs="Times New Roman"/>
          <w:b/>
          <w:bCs/>
          <w:color w:val="auto"/>
          <w:kern w:val="2"/>
          <w:sz w:val="32"/>
          <w:szCs w:val="32"/>
          <w:lang w:val="en-US" w:eastAsia="zh-CN" w:bidi="ar-SA"/>
        </w:rPr>
        <w:t>9.香梨产业</w:t>
      </w:r>
      <w:r>
        <w:rPr>
          <w:rFonts w:hint="default" w:ascii="Times New Roman" w:hAnsi="Times New Roman" w:eastAsia="楷体_GB2312" w:cs="Times New Roman"/>
          <w:b/>
          <w:bCs/>
          <w:color w:val="auto"/>
          <w:sz w:val="32"/>
          <w:szCs w:val="32"/>
          <w:lang w:eastAsia="zh-CN"/>
        </w:rPr>
        <w:t>技术体系</w:t>
      </w:r>
      <w:r>
        <w:rPr>
          <w:rFonts w:hint="default" w:ascii="Times New Roman" w:hAnsi="Times New Roman" w:eastAsia="楷体_GB2312" w:cs="Times New Roman"/>
          <w:b/>
          <w:bCs/>
          <w:color w:val="auto"/>
          <w:sz w:val="32"/>
          <w:szCs w:val="32"/>
          <w:lang w:val="en-US" w:eastAsia="zh-CN"/>
        </w:rPr>
        <w:t>专家团队</w:t>
      </w:r>
      <w:r>
        <w:rPr>
          <w:rFonts w:hint="default" w:ascii="Times New Roman" w:hAnsi="Times New Roman" w:eastAsia="楷体_GB2312" w:cs="Times New Roman"/>
          <w:b/>
          <w:bCs/>
          <w:color w:val="auto"/>
          <w:kern w:val="2"/>
          <w:sz w:val="32"/>
          <w:szCs w:val="32"/>
          <w:lang w:val="en-US" w:eastAsia="zh-CN" w:bidi="ar-SA"/>
        </w:rPr>
        <w:t>。</w:t>
      </w:r>
      <w:r>
        <w:rPr>
          <w:rFonts w:hint="default" w:ascii="Times New Roman" w:hAnsi="Times New Roman" w:eastAsia="仿宋_GB2312" w:cs="Times New Roman"/>
          <w:color w:val="auto"/>
          <w:sz w:val="32"/>
          <w:szCs w:val="32"/>
          <w:lang w:val="en-US" w:eastAsia="zh-CN"/>
        </w:rPr>
        <w:t>围绕香梨全产业链建设关键环节和重大技术需求，凝聚协同攻关目标，</w:t>
      </w:r>
      <w:r>
        <w:rPr>
          <w:rFonts w:hint="default" w:ascii="Times New Roman" w:hAnsi="Times New Roman" w:eastAsia="仿宋_GB2312" w:cs="Times New Roman"/>
          <w:color w:val="auto"/>
          <w:sz w:val="32"/>
          <w:szCs w:val="32"/>
          <w:lang w:eastAsia="zh-CN"/>
        </w:rPr>
        <w:t>提供产业发展研究与决策咨询。</w:t>
      </w:r>
      <w:r>
        <w:rPr>
          <w:rFonts w:hint="default" w:ascii="Times New Roman" w:hAnsi="Times New Roman" w:eastAsia="仿宋_GB2312" w:cs="Times New Roman"/>
          <w:color w:val="auto"/>
          <w:sz w:val="32"/>
          <w:szCs w:val="32"/>
        </w:rPr>
        <w:t>开展香</w:t>
      </w:r>
      <w:r>
        <w:rPr>
          <w:rFonts w:hint="default" w:ascii="Times New Roman" w:hAnsi="Times New Roman" w:eastAsia="仿宋_GB2312" w:cs="Times New Roman"/>
          <w:color w:val="auto"/>
          <w:sz w:val="32"/>
          <w:szCs w:val="32"/>
          <w:lang w:eastAsia="zh-CN"/>
        </w:rPr>
        <w:t>梨</w:t>
      </w:r>
      <w:r>
        <w:rPr>
          <w:rFonts w:hint="default" w:ascii="Times New Roman" w:hAnsi="Times New Roman" w:eastAsia="仿宋_GB2312" w:cs="Times New Roman"/>
          <w:color w:val="auto"/>
          <w:sz w:val="32"/>
          <w:szCs w:val="32"/>
        </w:rPr>
        <w:t>家系品种改良</w:t>
      </w:r>
      <w:r>
        <w:rPr>
          <w:rFonts w:hint="default" w:ascii="Times New Roman" w:hAnsi="Times New Roman" w:eastAsia="仿宋_GB2312" w:cs="Times New Roman"/>
          <w:color w:val="auto"/>
          <w:sz w:val="32"/>
          <w:szCs w:val="32"/>
          <w:lang w:eastAsia="zh-CN"/>
        </w:rPr>
        <w:t>、耐贮藏新品系和抗性砧木选育，</w:t>
      </w:r>
      <w:r>
        <w:rPr>
          <w:rFonts w:hint="default" w:ascii="Times New Roman" w:hAnsi="Times New Roman" w:eastAsia="仿宋_GB2312" w:cs="Times New Roman"/>
          <w:color w:val="auto"/>
          <w:sz w:val="32"/>
          <w:szCs w:val="32"/>
        </w:rPr>
        <w:t>研发花果管理、</w:t>
      </w:r>
      <w:r>
        <w:rPr>
          <w:rFonts w:hint="default" w:ascii="Times New Roman" w:hAnsi="Times New Roman" w:eastAsia="仿宋_GB2312" w:cs="Times New Roman"/>
          <w:color w:val="auto"/>
          <w:sz w:val="32"/>
          <w:szCs w:val="32"/>
          <w:lang w:eastAsia="zh-CN"/>
        </w:rPr>
        <w:t>省力化简约化栽培</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老旧果园改造、配套机械、</w:t>
      </w:r>
      <w:r>
        <w:rPr>
          <w:rFonts w:hint="default" w:ascii="Times New Roman" w:hAnsi="Times New Roman" w:eastAsia="仿宋_GB2312" w:cs="Times New Roman"/>
          <w:color w:val="auto"/>
          <w:sz w:val="32"/>
          <w:szCs w:val="32"/>
        </w:rPr>
        <w:t>采病虫</w:t>
      </w:r>
      <w:r>
        <w:rPr>
          <w:rFonts w:hint="default" w:ascii="Times New Roman" w:hAnsi="Times New Roman" w:eastAsia="仿宋_GB2312" w:cs="Times New Roman"/>
          <w:color w:val="auto"/>
          <w:sz w:val="32"/>
          <w:szCs w:val="32"/>
          <w:lang w:eastAsia="zh-CN"/>
        </w:rPr>
        <w:t>害</w:t>
      </w:r>
      <w:r>
        <w:rPr>
          <w:rFonts w:hint="default" w:ascii="Times New Roman" w:hAnsi="Times New Roman" w:eastAsia="仿宋_GB2312" w:cs="Times New Roman"/>
          <w:color w:val="auto"/>
          <w:sz w:val="32"/>
          <w:szCs w:val="32"/>
        </w:rPr>
        <w:t>绿色防控、</w:t>
      </w:r>
      <w:r>
        <w:rPr>
          <w:rFonts w:hint="default" w:ascii="Times New Roman" w:hAnsi="Times New Roman" w:eastAsia="仿宋_GB2312" w:cs="Times New Roman"/>
          <w:color w:val="auto"/>
          <w:sz w:val="32"/>
          <w:szCs w:val="32"/>
          <w:lang w:eastAsia="zh-CN"/>
        </w:rPr>
        <w:t>果品安全生产、采收</w:t>
      </w:r>
      <w:r>
        <w:rPr>
          <w:rFonts w:hint="default" w:ascii="Times New Roman" w:hAnsi="Times New Roman" w:eastAsia="仿宋_GB2312" w:cs="Times New Roman"/>
          <w:color w:val="auto"/>
          <w:sz w:val="32"/>
          <w:szCs w:val="32"/>
        </w:rPr>
        <w:t>分级、贮运保鲜、精深加工、灾害性天气防范技术</w:t>
      </w:r>
      <w:r>
        <w:rPr>
          <w:rFonts w:hint="default" w:ascii="Times New Roman" w:hAnsi="Times New Roman" w:eastAsia="仿宋_GB2312" w:cs="Times New Roman"/>
          <w:color w:val="auto"/>
          <w:sz w:val="32"/>
          <w:szCs w:val="32"/>
          <w:lang w:eastAsia="zh-CN"/>
        </w:rPr>
        <w:t>的集成和</w:t>
      </w:r>
      <w:r>
        <w:rPr>
          <w:rFonts w:hint="default" w:ascii="Times New Roman" w:hAnsi="Times New Roman" w:eastAsia="仿宋_GB2312" w:cs="Times New Roman"/>
          <w:color w:val="auto"/>
          <w:sz w:val="32"/>
          <w:szCs w:val="32"/>
        </w:rPr>
        <w:t>示范推广</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贯通全产业链各环节协同攻关</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u w:val="none"/>
        </w:rPr>
        <w:t>提供产业应急、突发性事件处置的技术支撑</w:t>
      </w:r>
      <w:r>
        <w:rPr>
          <w:rFonts w:hint="default" w:ascii="Times New Roman" w:hAnsi="Times New Roman" w:eastAsia="仿宋_GB2312" w:cs="Times New Roman"/>
          <w:color w:val="auto"/>
          <w:sz w:val="32"/>
          <w:szCs w:val="32"/>
          <w:lang w:eastAsia="zh-CN"/>
        </w:rPr>
        <w:t>，推动先进成熟技术在新疆香梨产业链中应用与产业化落地</w:t>
      </w:r>
      <w:r>
        <w:rPr>
          <w:rFonts w:hint="default" w:ascii="Times New Roman" w:hAnsi="Times New Roman" w:eastAsia="仿宋_GB2312" w:cs="Times New Roman"/>
          <w:color w:val="auto"/>
          <w:sz w:val="32"/>
          <w:szCs w:val="32"/>
        </w:rPr>
        <w:t>。</w:t>
      </w:r>
    </w:p>
    <w:p>
      <w:bookmarkStart w:id="0" w:name="_GoBack"/>
      <w:bookmarkEnd w:id="0"/>
    </w:p>
    <w:sectPr>
      <w:footerReference r:id="rId5" w:type="default"/>
      <w:pgSz w:w="11905" w:h="16838"/>
      <w:pgMar w:top="2154" w:right="1417" w:bottom="2041" w:left="1531" w:header="1134" w:footer="1417" w:gutter="0"/>
      <w:pgBorders>
        <w:top w:val="none" w:sz="0" w:space="0"/>
        <w:left w:val="none" w:sz="0" w:space="0"/>
        <w:bottom w:val="none" w:sz="0" w:space="0"/>
        <w:right w:val="none" w:sz="0" w:space="0"/>
      </w:pgBorders>
      <w:pgNumType w:fmt="decimal"/>
      <w:cols w:space="0" w:num="1"/>
      <w:rtlGutter w:val="0"/>
      <w:docGrid w:type="linesAndChars" w:linePitch="497" w:charSpace="747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996A43D9-A664-4BCB-B8A6-95B3693DB6F5}"/>
  </w:font>
  <w:font w:name="仿宋_GB2312">
    <w:panose1 w:val="02010609030101010101"/>
    <w:charset w:val="86"/>
    <w:family w:val="modern"/>
    <w:pitch w:val="default"/>
    <w:sig w:usb0="00000001" w:usb1="080E0000" w:usb2="00000000" w:usb3="00000000" w:csb0="00040000" w:csb1="00000000"/>
    <w:embedRegular r:id="rId2" w:fontKey="{67E282F5-0806-44CB-8B3B-E90F00227B30}"/>
  </w:font>
  <w:font w:name="Cambria">
    <w:panose1 w:val="02040503050406030204"/>
    <w:charset w:val="00"/>
    <w:family w:val="roman"/>
    <w:pitch w:val="default"/>
    <w:sig w:usb0="E00006FF" w:usb1="420024FF" w:usb2="02000000" w:usb3="00000000" w:csb0="2000019F" w:csb1="00000000"/>
  </w:font>
  <w:font w:name="方正小标宋_GBK">
    <w:panose1 w:val="02000000000000000000"/>
    <w:charset w:val="86"/>
    <w:family w:val="auto"/>
    <w:pitch w:val="default"/>
    <w:sig w:usb0="A00002BF" w:usb1="38CF7CFA" w:usb2="00082016" w:usb3="00000000" w:csb0="00040001" w:csb1="00000000"/>
    <w:embedRegular r:id="rId3" w:fontKey="{3A4F4DD4-D15A-4B26-90D4-3A4B3CA52F21}"/>
  </w:font>
  <w:font w:name="楷体_GB2312">
    <w:panose1 w:val="02010609030101010101"/>
    <w:charset w:val="86"/>
    <w:family w:val="auto"/>
    <w:pitch w:val="default"/>
    <w:sig w:usb0="00000001" w:usb1="080E0000" w:usb2="00000000" w:usb3="00000000" w:csb0="00040000" w:csb1="00000000"/>
    <w:embedRegular r:id="rId4" w:fontKey="{0C0CBD51-5A1F-43FD-8FF6-5A5C93A9273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20"/>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21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21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FhN2EzYmE3YzNmYjc2NmRhNjE2YTAyNzJlY2NlMmIifQ=="/>
  </w:docVars>
  <w:rsids>
    <w:rsidRoot w:val="3F3A5BFD"/>
    <w:rsid w:val="3F3A5B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caption"/>
    <w:basedOn w:val="1"/>
    <w:next w:val="1"/>
    <w:qFormat/>
    <w:uiPriority w:val="0"/>
    <w:pPr>
      <w:widowControl w:val="0"/>
      <w:spacing w:after="0"/>
      <w:jc w:val="both"/>
    </w:pPr>
    <w:rPr>
      <w:rFonts w:ascii="Cambria" w:hAnsi="Cambria" w:eastAsia="黑体" w:cs="Cambria"/>
      <w:kern w:val="2"/>
      <w:sz w:val="20"/>
      <w:szCs w:val="20"/>
      <w:lang w:val="en-US" w:eastAsia="zh-CN" w:bidi="ar-SA"/>
    </w:rPr>
  </w:style>
  <w:style w:type="paragraph" w:styleId="3">
    <w:name w:val="footer"/>
    <w:basedOn w:val="1"/>
    <w:unhideWhenUsed/>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2026-08-19T04:50:00Z</dcterms:created>
  <dc:creator>王静娅</dc:creator>
  <cp:lastModifiedBy>王静娅</cp:lastModifiedBy>
  <dcterms:modified xsi:type="dcterms:W3CDTF">2026-08-19T04:50:34Z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F3C3E4C815234B97995C7B96B13B307D_11</vt:lpwstr>
  </property>
</Properties>
</file>